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E7" w:rsidRPr="000A5DE7" w:rsidRDefault="000A5DE7" w:rsidP="000A5DE7">
      <w:pPr>
        <w:spacing w:line="240" w:lineRule="atLeast"/>
        <w:ind w:left="4678"/>
        <w:contextualSpacing/>
        <w:rPr>
          <w:b/>
        </w:rPr>
      </w:pPr>
      <w:r w:rsidRPr="000A5DE7">
        <w:rPr>
          <w:b/>
        </w:rPr>
        <w:t>ЗАТВЕРДЖЕНО</w:t>
      </w:r>
    </w:p>
    <w:p w:rsidR="000A5DE7" w:rsidRPr="000A5DE7" w:rsidRDefault="000A5DE7" w:rsidP="000A5DE7">
      <w:pPr>
        <w:spacing w:line="240" w:lineRule="atLeast"/>
        <w:ind w:left="4678"/>
        <w:contextualSpacing/>
        <w:rPr>
          <w:b/>
        </w:rPr>
      </w:pPr>
      <w:r w:rsidRPr="000A5DE7">
        <w:rPr>
          <w:b/>
        </w:rPr>
        <w:t>Наглядовою радою ПАТ «МВО «Оріон»</w:t>
      </w:r>
    </w:p>
    <w:p w:rsidR="000A5DE7" w:rsidRPr="000A5DE7" w:rsidRDefault="000A5DE7" w:rsidP="00891BD7">
      <w:pPr>
        <w:spacing w:line="240" w:lineRule="atLeast"/>
        <w:ind w:left="4678"/>
        <w:contextualSpacing/>
        <w:rPr>
          <w:b/>
        </w:rPr>
      </w:pPr>
      <w:r w:rsidRPr="000A5DE7">
        <w:rPr>
          <w:b/>
        </w:rPr>
        <w:t>Протокол  №</w:t>
      </w:r>
      <w:r>
        <w:rPr>
          <w:b/>
          <w:lang w:val="ru-RU"/>
        </w:rPr>
        <w:t xml:space="preserve"> </w:t>
      </w:r>
      <w:r w:rsidR="004F1F4D" w:rsidRPr="00AE1F20">
        <w:rPr>
          <w:b/>
          <w:lang w:val="ru-RU"/>
        </w:rPr>
        <w:t>9</w:t>
      </w:r>
      <w:r>
        <w:rPr>
          <w:b/>
          <w:lang w:val="ru-RU"/>
        </w:rPr>
        <w:t>/202</w:t>
      </w:r>
      <w:r w:rsidR="00891BD7">
        <w:rPr>
          <w:b/>
          <w:lang w:val="ru-RU"/>
        </w:rPr>
        <w:t>3</w:t>
      </w:r>
      <w:r w:rsidRPr="000A5DE7">
        <w:rPr>
          <w:b/>
        </w:rPr>
        <w:t xml:space="preserve"> від </w:t>
      </w:r>
      <w:r w:rsidR="004F1F4D" w:rsidRPr="00AE1F20">
        <w:rPr>
          <w:b/>
          <w:lang w:val="ru-RU"/>
        </w:rPr>
        <w:t>25</w:t>
      </w:r>
      <w:r>
        <w:rPr>
          <w:b/>
        </w:rPr>
        <w:t>.</w:t>
      </w:r>
      <w:r w:rsidR="00891BD7">
        <w:rPr>
          <w:b/>
        </w:rPr>
        <w:t>0</w:t>
      </w:r>
      <w:r w:rsidR="004F1F4D" w:rsidRPr="00AE1F20">
        <w:rPr>
          <w:b/>
          <w:lang w:val="ru-RU"/>
        </w:rPr>
        <w:t>7</w:t>
      </w:r>
      <w:r>
        <w:rPr>
          <w:b/>
        </w:rPr>
        <w:t>.202</w:t>
      </w:r>
      <w:r w:rsidR="00891BD7">
        <w:rPr>
          <w:b/>
        </w:rPr>
        <w:t>3</w:t>
      </w:r>
      <w:r w:rsidRPr="000A5DE7">
        <w:rPr>
          <w:b/>
        </w:rPr>
        <w:t xml:space="preserve"> </w:t>
      </w:r>
    </w:p>
    <w:p w:rsidR="000A5DE7" w:rsidRDefault="000A5DE7" w:rsidP="00EE3C47">
      <w:pPr>
        <w:jc w:val="center"/>
        <w:rPr>
          <w:b/>
          <w:sz w:val="22"/>
          <w:szCs w:val="22"/>
        </w:rPr>
      </w:pPr>
    </w:p>
    <w:p w:rsidR="000A5DE7" w:rsidRDefault="000A5DE7" w:rsidP="00EE3C47">
      <w:pPr>
        <w:jc w:val="center"/>
        <w:rPr>
          <w:b/>
          <w:sz w:val="22"/>
          <w:szCs w:val="22"/>
        </w:rPr>
      </w:pPr>
    </w:p>
    <w:p w:rsidR="00EE3C47" w:rsidRPr="00AC63B3" w:rsidRDefault="00EE3C47" w:rsidP="00EE3C47">
      <w:pPr>
        <w:jc w:val="center"/>
        <w:rPr>
          <w:b/>
          <w:sz w:val="22"/>
          <w:szCs w:val="22"/>
        </w:rPr>
      </w:pPr>
      <w:r w:rsidRPr="00AC63B3">
        <w:rPr>
          <w:b/>
          <w:sz w:val="22"/>
          <w:szCs w:val="22"/>
        </w:rPr>
        <w:t>До уваги акціонерів</w:t>
      </w:r>
    </w:p>
    <w:p w:rsidR="004C059F" w:rsidRPr="004C059F" w:rsidRDefault="004C059F" w:rsidP="004C059F">
      <w:pPr>
        <w:jc w:val="center"/>
        <w:rPr>
          <w:b/>
          <w:sz w:val="22"/>
          <w:szCs w:val="22"/>
        </w:rPr>
      </w:pPr>
      <w:r w:rsidRPr="004C059F">
        <w:rPr>
          <w:b/>
          <w:sz w:val="22"/>
          <w:szCs w:val="22"/>
        </w:rPr>
        <w:t xml:space="preserve">Публічного акціонерного товариства </w:t>
      </w:r>
    </w:p>
    <w:p w:rsidR="004C059F" w:rsidRPr="004C059F" w:rsidRDefault="004C059F" w:rsidP="004C059F">
      <w:pPr>
        <w:jc w:val="center"/>
        <w:rPr>
          <w:b/>
          <w:sz w:val="22"/>
          <w:szCs w:val="22"/>
        </w:rPr>
      </w:pPr>
      <w:r w:rsidRPr="004C059F">
        <w:rPr>
          <w:b/>
          <w:sz w:val="22"/>
          <w:szCs w:val="22"/>
        </w:rPr>
        <w:t>«МАШИНОБУДІВНЕ ВИРОБНИЧЕ ОБ'ЄДНАННЯ «ОРІОН»</w:t>
      </w:r>
    </w:p>
    <w:p w:rsidR="00EE3C47" w:rsidRPr="00AC63B3" w:rsidRDefault="000046FD" w:rsidP="004C059F">
      <w:pPr>
        <w:jc w:val="center"/>
        <w:rPr>
          <w:b/>
          <w:sz w:val="22"/>
          <w:szCs w:val="22"/>
        </w:rPr>
      </w:pPr>
      <w:r w:rsidRPr="00AC63B3">
        <w:rPr>
          <w:b/>
          <w:sz w:val="22"/>
          <w:szCs w:val="22"/>
        </w:rPr>
        <w:t>(далі –</w:t>
      </w:r>
      <w:r w:rsidR="00B71AB1" w:rsidRPr="00AC63B3">
        <w:rPr>
          <w:b/>
          <w:sz w:val="22"/>
          <w:szCs w:val="22"/>
        </w:rPr>
        <w:t xml:space="preserve"> </w:t>
      </w:r>
      <w:r w:rsidR="004C059F">
        <w:rPr>
          <w:b/>
          <w:sz w:val="22"/>
          <w:szCs w:val="22"/>
        </w:rPr>
        <w:t>П</w:t>
      </w:r>
      <w:r w:rsidR="00EF4A20">
        <w:rPr>
          <w:b/>
          <w:sz w:val="22"/>
          <w:szCs w:val="22"/>
        </w:rPr>
        <w:t xml:space="preserve">АТ </w:t>
      </w:r>
      <w:r w:rsidR="004C059F">
        <w:rPr>
          <w:b/>
          <w:sz w:val="22"/>
          <w:szCs w:val="22"/>
        </w:rPr>
        <w:t>«МВО</w:t>
      </w:r>
      <w:r w:rsidR="00EF4A20">
        <w:rPr>
          <w:b/>
          <w:sz w:val="22"/>
          <w:szCs w:val="22"/>
        </w:rPr>
        <w:t>«</w:t>
      </w:r>
      <w:r w:rsidR="004C059F">
        <w:rPr>
          <w:b/>
          <w:sz w:val="22"/>
          <w:szCs w:val="22"/>
        </w:rPr>
        <w:t>ОРІОН</w:t>
      </w:r>
      <w:r w:rsidR="00EF4A20">
        <w:rPr>
          <w:b/>
          <w:sz w:val="22"/>
          <w:szCs w:val="22"/>
        </w:rPr>
        <w:t xml:space="preserve">», </w:t>
      </w:r>
      <w:r w:rsidRPr="00AC63B3">
        <w:rPr>
          <w:b/>
          <w:sz w:val="22"/>
          <w:szCs w:val="22"/>
        </w:rPr>
        <w:t>Товариство)</w:t>
      </w:r>
      <w:r w:rsidR="00303A9E" w:rsidRPr="00AC63B3">
        <w:rPr>
          <w:b/>
          <w:sz w:val="22"/>
          <w:szCs w:val="22"/>
        </w:rPr>
        <w:t xml:space="preserve"> </w:t>
      </w:r>
      <w:r w:rsidR="00EE3C47" w:rsidRPr="00AC63B3">
        <w:rPr>
          <w:b/>
          <w:sz w:val="22"/>
          <w:szCs w:val="22"/>
        </w:rPr>
        <w:t xml:space="preserve">(код ЄДРПОУ </w:t>
      </w:r>
      <w:r w:rsidR="004C059F" w:rsidRPr="004C059F">
        <w:rPr>
          <w:b/>
          <w:sz w:val="22"/>
          <w:szCs w:val="22"/>
        </w:rPr>
        <w:t>14309913</w:t>
      </w:r>
      <w:r w:rsidR="00EE3C47" w:rsidRPr="00AC63B3">
        <w:rPr>
          <w:b/>
          <w:sz w:val="22"/>
          <w:szCs w:val="22"/>
        </w:rPr>
        <w:t xml:space="preserve">), </w:t>
      </w:r>
    </w:p>
    <w:p w:rsidR="00EE3C47" w:rsidRPr="00AC63B3" w:rsidRDefault="00EE3C47" w:rsidP="001D2102">
      <w:pPr>
        <w:jc w:val="center"/>
        <w:rPr>
          <w:b/>
          <w:sz w:val="22"/>
          <w:szCs w:val="22"/>
        </w:rPr>
      </w:pPr>
      <w:r w:rsidRPr="00AC63B3">
        <w:rPr>
          <w:b/>
          <w:sz w:val="22"/>
          <w:szCs w:val="22"/>
        </w:rPr>
        <w:t xml:space="preserve">місцезнаходження товариства: </w:t>
      </w:r>
      <w:r w:rsidR="004C059F" w:rsidRPr="004C059F">
        <w:rPr>
          <w:b/>
          <w:sz w:val="22"/>
          <w:szCs w:val="22"/>
        </w:rPr>
        <w:t>Україна, 65098, Одеська обл., м</w:t>
      </w:r>
      <w:r w:rsidR="004C059F">
        <w:rPr>
          <w:b/>
          <w:sz w:val="22"/>
          <w:szCs w:val="22"/>
        </w:rPr>
        <w:t>.</w:t>
      </w:r>
      <w:r w:rsidR="004C059F" w:rsidRPr="004C059F">
        <w:rPr>
          <w:b/>
          <w:sz w:val="22"/>
          <w:szCs w:val="22"/>
        </w:rPr>
        <w:t xml:space="preserve"> Одеса, </w:t>
      </w:r>
      <w:r w:rsidR="004C059F">
        <w:rPr>
          <w:b/>
          <w:sz w:val="22"/>
          <w:szCs w:val="22"/>
        </w:rPr>
        <w:t>вул.</w:t>
      </w:r>
      <w:r w:rsidR="004C059F" w:rsidRPr="004C059F">
        <w:rPr>
          <w:b/>
          <w:sz w:val="22"/>
          <w:szCs w:val="22"/>
        </w:rPr>
        <w:t xml:space="preserve"> Г</w:t>
      </w:r>
      <w:r w:rsidR="004C059F">
        <w:rPr>
          <w:b/>
          <w:sz w:val="22"/>
          <w:szCs w:val="22"/>
        </w:rPr>
        <w:t>аркавого</w:t>
      </w:r>
      <w:r w:rsidR="004C059F" w:rsidRPr="004C059F">
        <w:rPr>
          <w:b/>
          <w:sz w:val="22"/>
          <w:szCs w:val="22"/>
        </w:rPr>
        <w:t>, буд</w:t>
      </w:r>
      <w:r w:rsidR="004C059F">
        <w:rPr>
          <w:b/>
          <w:sz w:val="22"/>
          <w:szCs w:val="22"/>
        </w:rPr>
        <w:t>.</w:t>
      </w:r>
      <w:r w:rsidR="004C059F" w:rsidRPr="004C059F">
        <w:rPr>
          <w:b/>
          <w:sz w:val="22"/>
          <w:szCs w:val="22"/>
        </w:rPr>
        <w:t xml:space="preserve"> 6</w:t>
      </w:r>
    </w:p>
    <w:p w:rsidR="00EE3C47" w:rsidRPr="00AC63B3" w:rsidRDefault="00EE3C47" w:rsidP="00274F95">
      <w:pPr>
        <w:ind w:firstLine="540"/>
        <w:jc w:val="both"/>
        <w:rPr>
          <w:sz w:val="20"/>
          <w:szCs w:val="20"/>
        </w:rPr>
      </w:pPr>
    </w:p>
    <w:p w:rsidR="00EE3C47" w:rsidRPr="00AC63B3" w:rsidRDefault="00EE3C47" w:rsidP="00EE3C47">
      <w:pPr>
        <w:jc w:val="center"/>
        <w:rPr>
          <w:b/>
          <w:sz w:val="22"/>
          <w:szCs w:val="22"/>
        </w:rPr>
      </w:pPr>
      <w:r w:rsidRPr="00AC63B3">
        <w:rPr>
          <w:b/>
          <w:sz w:val="22"/>
          <w:szCs w:val="22"/>
        </w:rPr>
        <w:t xml:space="preserve">Повідомляємо Вас про </w:t>
      </w:r>
      <w:r w:rsidR="001D2102" w:rsidRPr="00AC63B3">
        <w:rPr>
          <w:b/>
          <w:sz w:val="22"/>
          <w:szCs w:val="22"/>
        </w:rPr>
        <w:t xml:space="preserve">дистанційне </w:t>
      </w:r>
      <w:r w:rsidRPr="00AC63B3">
        <w:rPr>
          <w:b/>
          <w:sz w:val="22"/>
          <w:szCs w:val="22"/>
        </w:rPr>
        <w:t xml:space="preserve">проведення </w:t>
      </w:r>
      <w:r w:rsidR="00387F4B">
        <w:rPr>
          <w:b/>
          <w:sz w:val="22"/>
          <w:szCs w:val="22"/>
        </w:rPr>
        <w:t>04</w:t>
      </w:r>
      <w:r w:rsidR="00AA515A">
        <w:rPr>
          <w:b/>
          <w:sz w:val="22"/>
          <w:szCs w:val="22"/>
        </w:rPr>
        <w:t xml:space="preserve"> </w:t>
      </w:r>
      <w:r w:rsidR="00387F4B">
        <w:rPr>
          <w:b/>
          <w:sz w:val="22"/>
          <w:szCs w:val="22"/>
        </w:rPr>
        <w:t>верес</w:t>
      </w:r>
      <w:r w:rsidR="004C059F">
        <w:rPr>
          <w:b/>
          <w:sz w:val="22"/>
          <w:szCs w:val="22"/>
        </w:rPr>
        <w:t>ня</w:t>
      </w:r>
      <w:r w:rsidR="00AA515A">
        <w:rPr>
          <w:b/>
          <w:sz w:val="22"/>
          <w:szCs w:val="22"/>
        </w:rPr>
        <w:t xml:space="preserve"> 202</w:t>
      </w:r>
      <w:r w:rsidR="00891BD7">
        <w:rPr>
          <w:b/>
          <w:sz w:val="22"/>
          <w:szCs w:val="22"/>
        </w:rPr>
        <w:t>3</w:t>
      </w:r>
      <w:r w:rsidR="00AA515A">
        <w:rPr>
          <w:b/>
          <w:sz w:val="22"/>
          <w:szCs w:val="22"/>
        </w:rPr>
        <w:t xml:space="preserve"> </w:t>
      </w:r>
      <w:r w:rsidR="0061766F" w:rsidRPr="00AC63B3">
        <w:rPr>
          <w:b/>
          <w:sz w:val="22"/>
          <w:szCs w:val="22"/>
        </w:rPr>
        <w:t>року</w:t>
      </w:r>
      <w:r w:rsidR="0061766F" w:rsidRPr="00AC63B3">
        <w:rPr>
          <w:b/>
        </w:rPr>
        <w:t xml:space="preserve"> </w:t>
      </w:r>
      <w:r w:rsidR="004F1F4D">
        <w:rPr>
          <w:b/>
          <w:sz w:val="22"/>
          <w:szCs w:val="22"/>
        </w:rPr>
        <w:t>позачергових</w:t>
      </w:r>
      <w:r w:rsidR="00CD7D0D" w:rsidRPr="00AC63B3">
        <w:rPr>
          <w:b/>
          <w:sz w:val="22"/>
          <w:szCs w:val="22"/>
        </w:rPr>
        <w:t xml:space="preserve"> </w:t>
      </w:r>
      <w:r w:rsidR="00BD4808">
        <w:rPr>
          <w:b/>
          <w:sz w:val="22"/>
          <w:szCs w:val="22"/>
        </w:rPr>
        <w:t>загальних</w:t>
      </w:r>
      <w:r w:rsidRPr="00AC63B3">
        <w:rPr>
          <w:b/>
          <w:sz w:val="22"/>
          <w:szCs w:val="22"/>
        </w:rPr>
        <w:t xml:space="preserve"> зборів </w:t>
      </w:r>
      <w:r w:rsidR="004C059F">
        <w:rPr>
          <w:b/>
          <w:sz w:val="22"/>
          <w:szCs w:val="22"/>
        </w:rPr>
        <w:t>ПАТ «МВО«ОРІОН»</w:t>
      </w:r>
    </w:p>
    <w:p w:rsidR="0061766F" w:rsidRPr="00AC63B3" w:rsidRDefault="0061766F" w:rsidP="00830404">
      <w:pPr>
        <w:ind w:firstLine="540"/>
        <w:jc w:val="both"/>
        <w:rPr>
          <w:sz w:val="20"/>
          <w:szCs w:val="20"/>
        </w:rPr>
      </w:pPr>
    </w:p>
    <w:p w:rsidR="00DA3985" w:rsidRPr="006D2430" w:rsidRDefault="00DA3985" w:rsidP="004C059F">
      <w:pPr>
        <w:ind w:firstLine="708"/>
        <w:jc w:val="both"/>
      </w:pPr>
      <w:r w:rsidRPr="00945773">
        <w:t xml:space="preserve">Рішення про скликання </w:t>
      </w:r>
      <w:r w:rsidR="004F1F4D">
        <w:t>позачергових</w:t>
      </w:r>
      <w:r w:rsidRPr="00945773">
        <w:t xml:space="preserve"> загальних зборів </w:t>
      </w:r>
      <w:r w:rsidR="00D62B24">
        <w:t>а</w:t>
      </w:r>
      <w:r w:rsidR="00D62B24" w:rsidRPr="00D62B24">
        <w:t xml:space="preserve">кціонерного </w:t>
      </w:r>
      <w:r w:rsidR="004C059F">
        <w:t>Публічного акціонерного товариства «МАШИНОБУДІВНЕ ВИРОБНИЧЕ ОБ'ЄДНАННЯ «ОРІОН»</w:t>
      </w:r>
      <w:r w:rsidRPr="00945773">
        <w:t xml:space="preserve"> та дистанційне їх проведення (далі –</w:t>
      </w:r>
      <w:r w:rsidR="003F6100">
        <w:t xml:space="preserve"> </w:t>
      </w:r>
      <w:r w:rsidRPr="00945773">
        <w:t xml:space="preserve">загальні збори) прийнято </w:t>
      </w:r>
      <w:r w:rsidR="004C059F">
        <w:t>Наглядовою радою Товариства</w:t>
      </w:r>
      <w:r w:rsidRPr="006D2430">
        <w:t xml:space="preserve">, враховуючи </w:t>
      </w:r>
      <w:r w:rsidR="00566B10">
        <w:t xml:space="preserve">норму </w:t>
      </w:r>
      <w:r w:rsidR="003F6100">
        <w:t xml:space="preserve">статті </w:t>
      </w:r>
      <w:r w:rsidR="00566B10">
        <w:t>42</w:t>
      </w:r>
      <w:r w:rsidRPr="006D2430">
        <w:t xml:space="preserve"> Закону України «Про акціонерні товариства». </w:t>
      </w:r>
    </w:p>
    <w:p w:rsidR="00CA10E1" w:rsidRDefault="00566B10" w:rsidP="00CA10E1">
      <w:pPr>
        <w:ind w:firstLine="708"/>
        <w:jc w:val="both"/>
      </w:pPr>
      <w:r>
        <w:t>04</w:t>
      </w:r>
      <w:r w:rsidR="00891BD7" w:rsidRPr="00891BD7">
        <w:t xml:space="preserve"> </w:t>
      </w:r>
      <w:r>
        <w:t>вересня</w:t>
      </w:r>
      <w:r w:rsidR="00891BD7" w:rsidRPr="00891BD7">
        <w:t xml:space="preserve"> 2023 </w:t>
      </w:r>
      <w:r w:rsidR="00DA3985" w:rsidRPr="00AC63B3">
        <w:t>року</w:t>
      </w:r>
      <w:r w:rsidR="00DA3985" w:rsidRPr="006D2430">
        <w:t xml:space="preserve"> – дата дистанційного проведення </w:t>
      </w:r>
      <w:r w:rsidR="004F1F4D">
        <w:t>позачергових</w:t>
      </w:r>
      <w:r w:rsidR="00DA3985" w:rsidRPr="006D2430">
        <w:t xml:space="preserve"> загальних зборів (дата завершення голосування), що будуть проведені у відповідності до </w:t>
      </w:r>
      <w:r w:rsidR="003F6100">
        <w:t>Порядку скликання та проведення дистанційних загальних зборів акціонерів</w:t>
      </w:r>
      <w:r w:rsidR="00DA3985" w:rsidRPr="006D2430">
        <w:t>, затвердженого рішенням Національної комісії з цінних п</w:t>
      </w:r>
      <w:r w:rsidR="003F6100">
        <w:t>аперів та фондового ринку від 06.03.2023 № 236 (далі – П</w:t>
      </w:r>
      <w:r w:rsidR="00DA3985" w:rsidRPr="006D2430">
        <w:t>орядок).</w:t>
      </w:r>
    </w:p>
    <w:p w:rsidR="00DA3985" w:rsidRPr="00387F4B" w:rsidRDefault="00CA10E1" w:rsidP="00CA10E1">
      <w:pPr>
        <w:ind w:firstLine="708"/>
        <w:jc w:val="both"/>
      </w:pPr>
      <w:r w:rsidRPr="00387F4B">
        <w:rPr>
          <w:color w:val="000000"/>
          <w:lang w:eastAsia="uk-UA"/>
        </w:rPr>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і надсилання їх до акціонерного товариства через депозитарну систему України у відповідності до цього Порядку.</w:t>
      </w:r>
      <w:r w:rsidR="00DA3985" w:rsidRPr="00387F4B">
        <w:t xml:space="preserve"> </w:t>
      </w:r>
    </w:p>
    <w:p w:rsidR="00DA3985" w:rsidRPr="00387F4B" w:rsidRDefault="00DA3985" w:rsidP="00DA3985">
      <w:pPr>
        <w:ind w:firstLine="708"/>
        <w:jc w:val="both"/>
      </w:pPr>
      <w:r w:rsidRPr="00387F4B">
        <w:t xml:space="preserve">Дата складення переліку акціонерів, які мають право на участь у </w:t>
      </w:r>
      <w:r w:rsidR="004F1F4D" w:rsidRPr="00387F4B">
        <w:t>позачергових</w:t>
      </w:r>
      <w:r w:rsidRPr="00387F4B">
        <w:t xml:space="preserve"> загальних зборах: </w:t>
      </w:r>
      <w:r w:rsidR="00566B10" w:rsidRPr="00387F4B">
        <w:t>30</w:t>
      </w:r>
      <w:r w:rsidR="004C059F" w:rsidRPr="00387F4B">
        <w:t xml:space="preserve"> </w:t>
      </w:r>
      <w:r w:rsidR="00566B10" w:rsidRPr="00387F4B">
        <w:t>серпня</w:t>
      </w:r>
      <w:r w:rsidR="004C059F" w:rsidRPr="00387F4B">
        <w:t xml:space="preserve"> 202</w:t>
      </w:r>
      <w:r w:rsidR="00891BD7" w:rsidRPr="00387F4B">
        <w:t>3</w:t>
      </w:r>
      <w:r w:rsidR="004C059F" w:rsidRPr="00387F4B">
        <w:t xml:space="preserve"> року</w:t>
      </w:r>
      <w:r w:rsidRPr="00387F4B">
        <w:t xml:space="preserve"> </w:t>
      </w:r>
      <w:r w:rsidR="003F6100" w:rsidRPr="00387F4B">
        <w:t>(станом на 23</w:t>
      </w:r>
      <w:r w:rsidRPr="00387F4B">
        <w:t xml:space="preserve"> годину).</w:t>
      </w:r>
    </w:p>
    <w:p w:rsidR="00A77B1D" w:rsidRPr="00387F4B" w:rsidRDefault="00A77B1D" w:rsidP="00DA3985">
      <w:pPr>
        <w:ind w:firstLine="708"/>
        <w:jc w:val="both"/>
        <w:rPr>
          <w:color w:val="000000"/>
        </w:rPr>
      </w:pPr>
      <w:r w:rsidRPr="00387F4B">
        <w:t xml:space="preserve">Бюлетені для голосування розміщуватимуться у вільному для акціонерів доступі на власному </w:t>
      </w:r>
      <w:proofErr w:type="spellStart"/>
      <w:r w:rsidRPr="00387F4B">
        <w:t>вебсайті</w:t>
      </w:r>
      <w:proofErr w:type="spellEnd"/>
      <w:r w:rsidRPr="00387F4B">
        <w:t xml:space="preserve"> ПАТ «МВО «ОРІОН»: </w:t>
      </w:r>
      <w:hyperlink r:id="rId7" w:history="1">
        <w:r w:rsidRPr="00387F4B">
          <w:rPr>
            <w:rStyle w:val="a7"/>
          </w:rPr>
          <w:t>http://14309913.sc-ua.com</w:t>
        </w:r>
      </w:hyperlink>
      <w:r w:rsidRPr="00387F4B">
        <w:rPr>
          <w:color w:val="000000"/>
        </w:rPr>
        <w:t>.</w:t>
      </w:r>
    </w:p>
    <w:p w:rsidR="00A77B1D" w:rsidRPr="00387F4B" w:rsidRDefault="00A77B1D" w:rsidP="00387F4B">
      <w:pPr>
        <w:pStyle w:val="ae"/>
        <w:ind w:firstLine="709"/>
        <w:jc w:val="both"/>
        <w:rPr>
          <w:color w:val="000000"/>
        </w:rPr>
      </w:pPr>
      <w:r w:rsidRPr="00387F4B">
        <w:t xml:space="preserve">Дата розміщення єдиного бюлетеня для голосування (щодо інших питань порядку денного, крім обрання органів товариства) – </w:t>
      </w:r>
      <w:r w:rsidR="00387F4B" w:rsidRPr="00387F4B">
        <w:t>25</w:t>
      </w:r>
      <w:r w:rsidRPr="00387F4B">
        <w:t xml:space="preserve"> </w:t>
      </w:r>
      <w:r w:rsidR="00387F4B" w:rsidRPr="00387F4B">
        <w:t>серпня</w:t>
      </w:r>
      <w:r w:rsidRPr="00387F4B">
        <w:t xml:space="preserve"> 2023 року</w:t>
      </w:r>
      <w:r w:rsidRPr="00387F4B">
        <w:rPr>
          <w:color w:val="000000"/>
        </w:rPr>
        <w:t>.</w:t>
      </w:r>
    </w:p>
    <w:p w:rsidR="00A77B1D" w:rsidRPr="005F08C7" w:rsidRDefault="00A77B1D" w:rsidP="00387F4B">
      <w:pPr>
        <w:pStyle w:val="ae"/>
        <w:ind w:firstLine="709"/>
        <w:jc w:val="both"/>
        <w:rPr>
          <w:color w:val="000000"/>
          <w:sz w:val="22"/>
        </w:rPr>
      </w:pPr>
      <w:r w:rsidRPr="00387F4B">
        <w:t xml:space="preserve">Дата розміщення єдиного бюлетеня для кумулятивного голосування – </w:t>
      </w:r>
      <w:r w:rsidR="00387F4B">
        <w:t>29</w:t>
      </w:r>
      <w:r w:rsidRPr="00387F4B">
        <w:t xml:space="preserve"> </w:t>
      </w:r>
      <w:r w:rsidR="00387F4B">
        <w:t>серпня</w:t>
      </w:r>
      <w:r w:rsidRPr="00387F4B">
        <w:t xml:space="preserve"> 2023 року</w:t>
      </w:r>
      <w:r w:rsidRPr="005F08C7">
        <w:rPr>
          <w:color w:val="000000"/>
          <w:sz w:val="22"/>
        </w:rPr>
        <w:t>.</w:t>
      </w:r>
    </w:p>
    <w:p w:rsidR="00DA3985" w:rsidRPr="006D2430" w:rsidRDefault="00DA3985" w:rsidP="00DA3985">
      <w:pPr>
        <w:ind w:firstLine="708"/>
        <w:jc w:val="both"/>
      </w:pPr>
      <w:r w:rsidRPr="006D2430">
        <w:t xml:space="preserve">Бюлетені для голосування на </w:t>
      </w:r>
      <w:r w:rsidR="004F1F4D">
        <w:t>позачергових</w:t>
      </w:r>
      <w:r w:rsidRPr="006D2430">
        <w:t xml:space="preserve"> загальних зборах пр</w:t>
      </w:r>
      <w:r w:rsidR="003F6100">
        <w:t>иймаються</w:t>
      </w:r>
      <w:r w:rsidR="00B4798E">
        <w:t xml:space="preserve"> (надсилаються до депозитарної установи)</w:t>
      </w:r>
      <w:r w:rsidR="003F6100">
        <w:t xml:space="preserve"> виключно до</w:t>
      </w:r>
      <w:r w:rsidR="00B4798E">
        <w:t xml:space="preserve"> </w:t>
      </w:r>
      <w:r w:rsidR="00387F4B">
        <w:t>04</w:t>
      </w:r>
      <w:r w:rsidR="00B4798E">
        <w:t xml:space="preserve"> </w:t>
      </w:r>
      <w:r w:rsidR="00387F4B">
        <w:t>вересня</w:t>
      </w:r>
      <w:r w:rsidR="00B4798E">
        <w:t xml:space="preserve"> 2023 об</w:t>
      </w:r>
      <w:r w:rsidR="003F6100">
        <w:t xml:space="preserve"> 18:</w:t>
      </w:r>
      <w:r w:rsidRPr="006D2430">
        <w:t xml:space="preserve">00 </w:t>
      </w:r>
      <w:r w:rsidR="00B4798E">
        <w:t>(дата</w:t>
      </w:r>
      <w:r w:rsidRPr="006D2430">
        <w:t xml:space="preserve"> завершення голосування</w:t>
      </w:r>
      <w:r w:rsidR="00B4798E">
        <w:t xml:space="preserve">). </w:t>
      </w:r>
    </w:p>
    <w:p w:rsidR="00DA3985" w:rsidRDefault="00DA3985" w:rsidP="0061766F">
      <w:pPr>
        <w:ind w:firstLine="708"/>
        <w:jc w:val="both"/>
      </w:pPr>
    </w:p>
    <w:p w:rsidR="009E2126" w:rsidRPr="00AC63B3" w:rsidRDefault="009E2126" w:rsidP="009E2126">
      <w:pPr>
        <w:jc w:val="both"/>
        <w:rPr>
          <w:sz w:val="20"/>
          <w:szCs w:val="20"/>
        </w:rPr>
      </w:pPr>
    </w:p>
    <w:p w:rsidR="00891BD7" w:rsidRPr="00E97EFB" w:rsidRDefault="00891BD7" w:rsidP="00891BD7">
      <w:pPr>
        <w:jc w:val="center"/>
        <w:rPr>
          <w:b/>
        </w:rPr>
      </w:pPr>
      <w:r w:rsidRPr="00E97EFB">
        <w:rPr>
          <w:b/>
        </w:rPr>
        <w:t>ПРОЄКТ ПОРЯДКУ ДЕННОГО:</w:t>
      </w:r>
    </w:p>
    <w:p w:rsidR="00891BD7" w:rsidRPr="008A0842" w:rsidRDefault="00891BD7" w:rsidP="00891BD7">
      <w:pPr>
        <w:ind w:right="72" w:firstLine="540"/>
        <w:jc w:val="both"/>
        <w:rPr>
          <w:bCs/>
        </w:rPr>
      </w:pP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Розгляд звіту наглядової ради Товариства про роботу у 2022 році та прийняття рішення за результатами його розгляду.</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Розгляд звіту виконавчого органу Товариства про результати фінансово-господарської діяльності у 2022 році та прийняття рішення за результатами його розгляду.</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Розгляд висновків аудиторського звіту суб’єкта аудиторської діяльності та затвердження заходів за результатами його розгляду.</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Затвердження звіту про винагороду членів наглядової ради Товариства за 2022 рік.</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Затвердження звіту про винагороду членів виконавчого органу Товариства за 2022 рік.</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Внесення змін до Статуту Товариства шляхом викладення його в новій редакції.</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Прийняття рішення про припинення повноважень голови та членів наглядової ради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Обрання членів наглядової ради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Затвердження умов цивільно-правових договорів, що укладаються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lastRenderedPageBreak/>
        <w:t>Затвердження положення про загальні збори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 xml:space="preserve">Внесення змін до положення про наглядову раду Товариства.  </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 xml:space="preserve">Щодо доцільності внесення змін до Положення про винагороду членів наглядової ради Товариства. </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Затвердження положенням про винагороду членів виконавчого органу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Внесення змін до Положення про принципи формування наглядової ради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Призначення суб’єкта аудиторської діяльності Товариства.</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Визначення основних напрямів діяльності Товариства на 2023 рік.</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Встановлення чітких цілей діяльності Товариства на 2024 рік.</w:t>
      </w:r>
    </w:p>
    <w:p w:rsidR="00387F4B" w:rsidRPr="00387F4B" w:rsidRDefault="00387F4B" w:rsidP="00387F4B">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387F4B">
        <w:rPr>
          <w:rFonts w:ascii="Times New Roman" w:eastAsia="Times New Roman" w:hAnsi="Times New Roman" w:cs="Times New Roman"/>
          <w:i/>
          <w:iCs/>
          <w:sz w:val="24"/>
          <w:szCs w:val="24"/>
          <w:lang w:val="uk-UA" w:eastAsia="ru-RU"/>
        </w:rPr>
        <w:t>Внесення змін до Кодексу корпоративного управління Товариства.</w:t>
      </w:r>
    </w:p>
    <w:p w:rsidR="00891BD7" w:rsidRDefault="00891BD7" w:rsidP="00891BD7">
      <w:pPr>
        <w:jc w:val="both"/>
        <w:rPr>
          <w:i/>
          <w:iCs/>
        </w:rPr>
      </w:pPr>
    </w:p>
    <w:p w:rsidR="00891BD7" w:rsidRPr="00E97EFB" w:rsidRDefault="00891BD7" w:rsidP="00891BD7">
      <w:pPr>
        <w:ind w:left="743" w:hanging="425"/>
        <w:jc w:val="both"/>
        <w:rPr>
          <w:rFonts w:ascii="Calibri" w:hAnsi="Calibri"/>
          <w:bCs/>
          <w:spacing w:val="-5"/>
          <w:lang w:eastAsia="uk-UA"/>
        </w:rPr>
      </w:pPr>
    </w:p>
    <w:p w:rsidR="00891BD7" w:rsidRDefault="00891BD7" w:rsidP="00891BD7">
      <w:pPr>
        <w:jc w:val="center"/>
        <w:rPr>
          <w:bCs/>
          <w:spacing w:val="-5"/>
        </w:rPr>
      </w:pPr>
      <w:r w:rsidRPr="00E97EFB">
        <w:rPr>
          <w:bCs/>
          <w:spacing w:val="-5"/>
        </w:rPr>
        <w:t>ПРОЄКТИ РІШЕНЬ З ПИТАНЬ ПОРЯДКУ ДЕННОГО:</w:t>
      </w:r>
    </w:p>
    <w:p w:rsidR="00891BD7" w:rsidRDefault="00891BD7" w:rsidP="00891BD7">
      <w:pPr>
        <w:jc w:val="center"/>
        <w:rPr>
          <w:bCs/>
          <w:spacing w:val="-5"/>
        </w:rPr>
      </w:pPr>
    </w:p>
    <w:p w:rsidR="00741A95" w:rsidRPr="00741A95" w:rsidRDefault="00741A95" w:rsidP="00741A95">
      <w:pPr>
        <w:ind w:right="72"/>
        <w:jc w:val="both"/>
        <w:rPr>
          <w:b/>
          <w:i/>
          <w:noProof/>
          <w:szCs w:val="26"/>
          <w:lang w:eastAsia="ar-SA"/>
        </w:rPr>
      </w:pPr>
      <w:r w:rsidRPr="00741A95">
        <w:rPr>
          <w:b/>
          <w:i/>
          <w:noProof/>
          <w:szCs w:val="26"/>
          <w:lang w:eastAsia="ar-SA"/>
        </w:rPr>
        <w:t xml:space="preserve">1. </w:t>
      </w:r>
      <w:r w:rsidRPr="00741A95">
        <w:rPr>
          <w:b/>
          <w:i/>
          <w:iCs/>
          <w:noProof/>
          <w:szCs w:val="26"/>
          <w:lang w:eastAsia="ar-SA"/>
        </w:rPr>
        <w:t>Розгляд звіту наглядової ради Товариства про роботу у 2022 році та прийняття рішення за результатами його розгляду.</w:t>
      </w:r>
    </w:p>
    <w:p w:rsidR="00741A95" w:rsidRPr="00741A95" w:rsidRDefault="00741A95" w:rsidP="00741A95">
      <w:pPr>
        <w:jc w:val="both"/>
        <w:rPr>
          <w:b/>
          <w:bCs/>
          <w:i/>
          <w:szCs w:val="26"/>
          <w:lang w:eastAsia="uk-UA"/>
        </w:rPr>
      </w:pPr>
      <w:proofErr w:type="spellStart"/>
      <w:r w:rsidRPr="00741A95">
        <w:rPr>
          <w:b/>
          <w:bCs/>
          <w:i/>
          <w:szCs w:val="26"/>
          <w:lang w:eastAsia="uk-UA"/>
        </w:rPr>
        <w:t>Проєкт</w:t>
      </w:r>
      <w:proofErr w:type="spellEnd"/>
      <w:r w:rsidRPr="00741A95">
        <w:rPr>
          <w:b/>
          <w:bCs/>
          <w:i/>
          <w:szCs w:val="26"/>
          <w:lang w:eastAsia="uk-UA"/>
        </w:rPr>
        <w:t xml:space="preserve"> рішення № 1:</w:t>
      </w:r>
    </w:p>
    <w:p w:rsidR="00741A95" w:rsidRPr="00BE53D2" w:rsidRDefault="00741A95" w:rsidP="00741A95">
      <w:pPr>
        <w:jc w:val="both"/>
        <w:rPr>
          <w:bCs/>
          <w:szCs w:val="26"/>
          <w:lang w:eastAsia="uk-UA"/>
        </w:rPr>
      </w:pPr>
      <w:r w:rsidRPr="00BE53D2">
        <w:rPr>
          <w:bCs/>
          <w:szCs w:val="26"/>
          <w:lang w:eastAsia="uk-UA"/>
        </w:rPr>
        <w:t>Затвердити звіт наглядової ради Товариства за 2022 рік.</w:t>
      </w:r>
    </w:p>
    <w:p w:rsidR="00741A95" w:rsidRPr="00BE53D2" w:rsidRDefault="00741A95" w:rsidP="00741A95">
      <w:pPr>
        <w:jc w:val="both"/>
        <w:rPr>
          <w:bCs/>
          <w:szCs w:val="26"/>
          <w:lang w:eastAsia="uk-UA"/>
        </w:rPr>
      </w:pPr>
      <w:r w:rsidRPr="00BE53D2">
        <w:rPr>
          <w:bCs/>
          <w:szCs w:val="26"/>
          <w:lang w:eastAsia="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741A95" w:rsidRPr="00741A95" w:rsidRDefault="00741A95" w:rsidP="00741A95">
      <w:pPr>
        <w:jc w:val="both"/>
        <w:rPr>
          <w:b/>
          <w:bCs/>
          <w:i/>
          <w:szCs w:val="26"/>
          <w:lang w:eastAsia="uk-UA"/>
        </w:rPr>
      </w:pPr>
      <w:proofErr w:type="spellStart"/>
      <w:r w:rsidRPr="00741A95">
        <w:rPr>
          <w:b/>
          <w:bCs/>
          <w:i/>
          <w:szCs w:val="26"/>
          <w:lang w:eastAsia="uk-UA"/>
        </w:rPr>
        <w:t>Проєкт</w:t>
      </w:r>
      <w:proofErr w:type="spellEnd"/>
      <w:r w:rsidRPr="00741A95">
        <w:rPr>
          <w:b/>
          <w:bCs/>
          <w:i/>
          <w:szCs w:val="26"/>
          <w:lang w:eastAsia="uk-UA"/>
        </w:rPr>
        <w:t xml:space="preserve"> рішення № 2:</w:t>
      </w:r>
    </w:p>
    <w:p w:rsidR="00741A95" w:rsidRPr="00BE53D2" w:rsidRDefault="00741A95" w:rsidP="00741A95">
      <w:pPr>
        <w:jc w:val="both"/>
        <w:rPr>
          <w:bCs/>
          <w:szCs w:val="26"/>
          <w:lang w:eastAsia="uk-UA"/>
        </w:rPr>
      </w:pPr>
      <w:r w:rsidRPr="00BE53D2">
        <w:rPr>
          <w:bCs/>
          <w:szCs w:val="26"/>
          <w:lang w:eastAsia="uk-UA"/>
        </w:rPr>
        <w:t>Взяти до відома звіт наглядової ради Товариства за 2022 рік.</w:t>
      </w:r>
    </w:p>
    <w:p w:rsidR="00741A95" w:rsidRPr="00BE53D2" w:rsidRDefault="00741A95" w:rsidP="00741A95">
      <w:pPr>
        <w:jc w:val="both"/>
        <w:rPr>
          <w:bCs/>
          <w:szCs w:val="26"/>
          <w:lang w:eastAsia="uk-UA"/>
        </w:rPr>
      </w:pPr>
      <w:r w:rsidRPr="00BE53D2">
        <w:rPr>
          <w:bCs/>
          <w:szCs w:val="26"/>
          <w:lang w:eastAsia="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741A95" w:rsidRPr="00741A95" w:rsidRDefault="00741A95" w:rsidP="00741A95">
      <w:pPr>
        <w:jc w:val="both"/>
        <w:rPr>
          <w:b/>
          <w:bCs/>
          <w:i/>
          <w:szCs w:val="26"/>
          <w:lang w:eastAsia="uk-UA"/>
        </w:rPr>
      </w:pPr>
      <w:proofErr w:type="spellStart"/>
      <w:r w:rsidRPr="00741A95">
        <w:rPr>
          <w:b/>
          <w:bCs/>
          <w:i/>
          <w:szCs w:val="26"/>
          <w:lang w:eastAsia="uk-UA"/>
        </w:rPr>
        <w:t>Проєкт</w:t>
      </w:r>
      <w:proofErr w:type="spellEnd"/>
      <w:r w:rsidRPr="00741A95">
        <w:rPr>
          <w:b/>
          <w:bCs/>
          <w:i/>
          <w:szCs w:val="26"/>
          <w:lang w:eastAsia="uk-UA"/>
        </w:rPr>
        <w:t xml:space="preserve"> рішення № 3:</w:t>
      </w:r>
    </w:p>
    <w:p w:rsidR="00741A95" w:rsidRPr="00BE53D2" w:rsidRDefault="00741A95" w:rsidP="00741A95">
      <w:pPr>
        <w:jc w:val="both"/>
        <w:rPr>
          <w:bCs/>
          <w:szCs w:val="26"/>
          <w:lang w:eastAsia="uk-UA"/>
        </w:rPr>
      </w:pPr>
      <w:r w:rsidRPr="00BE53D2">
        <w:rPr>
          <w:bCs/>
          <w:szCs w:val="26"/>
          <w:lang w:eastAsia="uk-UA"/>
        </w:rPr>
        <w:t>Взяти до відома звіт наглядової ради Товариства за 2022 рік.</w:t>
      </w:r>
    </w:p>
    <w:p w:rsidR="00741A95" w:rsidRPr="00BE53D2" w:rsidRDefault="00741A95" w:rsidP="00741A95">
      <w:pPr>
        <w:jc w:val="both"/>
        <w:rPr>
          <w:bCs/>
          <w:szCs w:val="26"/>
          <w:lang w:eastAsia="uk-UA"/>
        </w:rPr>
      </w:pPr>
      <w:r w:rsidRPr="00BE53D2">
        <w:rPr>
          <w:bCs/>
          <w:szCs w:val="26"/>
          <w:lang w:eastAsia="uk-UA"/>
        </w:rPr>
        <w:t>За результатами розгляду зазначеного звіту визнати роботу наглядової ради Товариства у 2022 році незадовільною.</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jc w:val="both"/>
        <w:rPr>
          <w:rFonts w:eastAsia="Times-Roman"/>
          <w:b/>
          <w:i/>
          <w:szCs w:val="26"/>
        </w:rPr>
      </w:pPr>
    </w:p>
    <w:p w:rsidR="00741A95" w:rsidRPr="00741A95" w:rsidRDefault="00741A95" w:rsidP="00741A95">
      <w:pPr>
        <w:jc w:val="both"/>
        <w:rPr>
          <w:b/>
          <w:i/>
          <w:iCs/>
          <w:szCs w:val="26"/>
          <w:lang w:eastAsia="uk-UA"/>
        </w:rPr>
      </w:pPr>
      <w:r w:rsidRPr="00741A95">
        <w:rPr>
          <w:b/>
          <w:i/>
          <w:szCs w:val="26"/>
          <w:lang w:eastAsia="uk-UA"/>
        </w:rPr>
        <w:t xml:space="preserve">2. </w:t>
      </w:r>
      <w:r w:rsidRPr="00741A95">
        <w:rPr>
          <w:b/>
          <w:i/>
          <w:iCs/>
          <w:szCs w:val="26"/>
          <w:lang w:eastAsia="uk-UA"/>
        </w:rPr>
        <w:t>Розгляд звіту виконавчого органу Товариства про результати фінансово-господарської діяльності у 2022 році та прийняття рішення за результатами його розгляду.</w:t>
      </w:r>
    </w:p>
    <w:p w:rsidR="00741A95" w:rsidRPr="00741A95" w:rsidRDefault="00741A95" w:rsidP="00741A95">
      <w:pPr>
        <w:rPr>
          <w:b/>
          <w:bCs/>
          <w:i/>
          <w:noProof/>
          <w:szCs w:val="26"/>
          <w:lang w:eastAsia="ar-SA"/>
        </w:rPr>
      </w:pPr>
      <w:r w:rsidRPr="00741A95">
        <w:rPr>
          <w:b/>
          <w:bCs/>
          <w:i/>
          <w:noProof/>
          <w:szCs w:val="26"/>
          <w:lang w:eastAsia="ar-SA"/>
        </w:rPr>
        <w:t>Проєкт рішення № 1:</w:t>
      </w:r>
    </w:p>
    <w:p w:rsidR="00741A95" w:rsidRPr="0089326D" w:rsidRDefault="00741A95" w:rsidP="00741A95">
      <w:pPr>
        <w:jc w:val="both"/>
        <w:rPr>
          <w:noProof/>
          <w:szCs w:val="26"/>
          <w:lang w:eastAsia="ar-SA"/>
        </w:rPr>
      </w:pPr>
      <w:r w:rsidRPr="0089326D">
        <w:rPr>
          <w:bCs/>
          <w:noProof/>
          <w:szCs w:val="26"/>
          <w:lang w:eastAsia="ar-SA"/>
        </w:rPr>
        <w:t>Взяти до відома звіт виконавчого органу Товариства про результати фінансово-господарської діяльності у 2022 році та в</w:t>
      </w:r>
      <w:r w:rsidRPr="0089326D">
        <w:rPr>
          <w:noProof/>
          <w:szCs w:val="26"/>
          <w:lang w:eastAsia="ar-SA"/>
        </w:rPr>
        <w:t xml:space="preserve">изнати </w:t>
      </w:r>
      <w:r w:rsidRPr="0089326D">
        <w:rPr>
          <w:noProof/>
          <w:color w:val="000000"/>
          <w:szCs w:val="26"/>
          <w:lang w:eastAsia="ar-SA"/>
        </w:rPr>
        <w:t>роботу виконавчого органу</w:t>
      </w:r>
      <w:r w:rsidRPr="0089326D">
        <w:rPr>
          <w:noProof/>
          <w:szCs w:val="26"/>
          <w:lang w:eastAsia="ar-SA"/>
        </w:rPr>
        <w:t xml:space="preserve"> Товариства задовільною.</w:t>
      </w:r>
    </w:p>
    <w:p w:rsidR="00741A95" w:rsidRPr="00741A95" w:rsidRDefault="00741A95" w:rsidP="00741A95">
      <w:pPr>
        <w:rPr>
          <w:b/>
          <w:bCs/>
          <w:i/>
          <w:noProof/>
          <w:szCs w:val="26"/>
          <w:lang w:eastAsia="ar-SA"/>
        </w:rPr>
      </w:pPr>
      <w:r w:rsidRPr="00741A95">
        <w:rPr>
          <w:b/>
          <w:bCs/>
          <w:i/>
          <w:noProof/>
          <w:szCs w:val="26"/>
          <w:lang w:eastAsia="ar-SA"/>
        </w:rPr>
        <w:t>Проєкт рішення № 2:</w:t>
      </w:r>
    </w:p>
    <w:p w:rsidR="00741A95" w:rsidRPr="0089326D" w:rsidRDefault="00741A95" w:rsidP="00741A95">
      <w:pPr>
        <w:jc w:val="both"/>
        <w:rPr>
          <w:noProof/>
          <w:szCs w:val="26"/>
          <w:lang w:eastAsia="ar-SA"/>
        </w:rPr>
      </w:pPr>
      <w:r w:rsidRPr="0089326D">
        <w:rPr>
          <w:bCs/>
          <w:noProof/>
          <w:szCs w:val="26"/>
          <w:lang w:eastAsia="ar-SA"/>
        </w:rPr>
        <w:t>Взяти до відома звіт виконавчого органу Товариства про результати фінансово-господарської діяльності у 2022 році та в</w:t>
      </w:r>
      <w:r w:rsidRPr="0089326D">
        <w:rPr>
          <w:noProof/>
          <w:szCs w:val="26"/>
          <w:lang w:eastAsia="ar-SA"/>
        </w:rPr>
        <w:t xml:space="preserve">изнати </w:t>
      </w:r>
      <w:r w:rsidRPr="0089326D">
        <w:rPr>
          <w:noProof/>
          <w:color w:val="000000"/>
          <w:szCs w:val="26"/>
          <w:lang w:eastAsia="ar-SA"/>
        </w:rPr>
        <w:t>роботу виконавчого органу</w:t>
      </w:r>
      <w:r w:rsidRPr="0089326D">
        <w:rPr>
          <w:noProof/>
          <w:szCs w:val="26"/>
          <w:lang w:eastAsia="ar-SA"/>
        </w:rPr>
        <w:t xml:space="preserve"> Товариства незадовільною.</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jc w:val="both"/>
        <w:rPr>
          <w:b/>
          <w:i/>
          <w:szCs w:val="26"/>
          <w:lang w:eastAsia="uk-UA"/>
        </w:rPr>
      </w:pPr>
    </w:p>
    <w:p w:rsidR="00741A95" w:rsidRPr="00741A95" w:rsidRDefault="00741A95" w:rsidP="00741A95">
      <w:pPr>
        <w:jc w:val="both"/>
        <w:rPr>
          <w:b/>
          <w:i/>
          <w:szCs w:val="26"/>
          <w:lang w:eastAsia="uk-UA"/>
        </w:rPr>
      </w:pPr>
      <w:r w:rsidRPr="00741A95">
        <w:rPr>
          <w:b/>
          <w:i/>
          <w:szCs w:val="26"/>
          <w:lang w:eastAsia="uk-UA"/>
        </w:rPr>
        <w:t xml:space="preserve">3. </w:t>
      </w:r>
      <w:r w:rsidRPr="00741A95">
        <w:rPr>
          <w:b/>
          <w:i/>
          <w:iCs/>
          <w:szCs w:val="26"/>
          <w:lang w:eastAsia="uk-UA"/>
        </w:rPr>
        <w:t>Розгляд висновків аудиторського звіту суб’єкта аудиторської діяльності та затвердження заходів за результатами його розгляду.</w:t>
      </w:r>
    </w:p>
    <w:p w:rsidR="00741A95" w:rsidRPr="00741A95" w:rsidRDefault="00741A95" w:rsidP="00741A95">
      <w:pPr>
        <w:jc w:val="both"/>
        <w:rPr>
          <w:b/>
          <w:i/>
          <w:szCs w:val="26"/>
          <w:lang w:eastAsia="uk-UA"/>
        </w:rPr>
      </w:pPr>
      <w:proofErr w:type="spellStart"/>
      <w:r w:rsidRPr="00741A95">
        <w:rPr>
          <w:b/>
          <w:i/>
          <w:szCs w:val="26"/>
          <w:lang w:eastAsia="uk-UA"/>
        </w:rPr>
        <w:t>Проєкт</w:t>
      </w:r>
      <w:proofErr w:type="spellEnd"/>
      <w:r w:rsidRPr="00741A95">
        <w:rPr>
          <w:b/>
          <w:i/>
          <w:szCs w:val="26"/>
          <w:lang w:eastAsia="uk-UA"/>
        </w:rPr>
        <w:t xml:space="preserve"> рішення № 1:</w:t>
      </w:r>
    </w:p>
    <w:p w:rsidR="00741A95" w:rsidRPr="0089326D" w:rsidRDefault="00741A95" w:rsidP="00741A95">
      <w:pPr>
        <w:ind w:right="72"/>
        <w:jc w:val="both"/>
        <w:rPr>
          <w:noProof/>
          <w:szCs w:val="26"/>
          <w:lang w:eastAsia="ar-SA"/>
        </w:rPr>
      </w:pPr>
      <w:r w:rsidRPr="0089326D">
        <w:rPr>
          <w:noProof/>
          <w:szCs w:val="26"/>
          <w:lang w:eastAsia="ar-SA"/>
        </w:rPr>
        <w:t>Взяти до відома</w:t>
      </w:r>
      <w:r w:rsidRPr="0089326D">
        <w:rPr>
          <w:b/>
          <w:noProof/>
          <w:szCs w:val="26"/>
          <w:lang w:eastAsia="ar-SA"/>
        </w:rPr>
        <w:t xml:space="preserve"> </w:t>
      </w:r>
      <w:r w:rsidRPr="0089326D">
        <w:rPr>
          <w:noProof/>
          <w:szCs w:val="26"/>
          <w:lang w:eastAsia="ar-SA"/>
        </w:rPr>
        <w:t>висновки аудиторського звіту Товариства за 2022 рік.</w:t>
      </w:r>
    </w:p>
    <w:p w:rsidR="00741A95" w:rsidRPr="00741A95" w:rsidRDefault="00741A95" w:rsidP="00741A95">
      <w:pPr>
        <w:ind w:right="72"/>
        <w:jc w:val="both"/>
        <w:rPr>
          <w:b/>
          <w:i/>
          <w:noProof/>
          <w:szCs w:val="26"/>
          <w:lang w:eastAsia="ar-SA"/>
        </w:rPr>
      </w:pPr>
      <w:r w:rsidRPr="00741A95">
        <w:rPr>
          <w:b/>
          <w:i/>
          <w:noProof/>
          <w:szCs w:val="26"/>
          <w:lang w:eastAsia="ar-SA"/>
        </w:rPr>
        <w:t>Проєкт рішення № 2:</w:t>
      </w:r>
    </w:p>
    <w:p w:rsidR="00741A95" w:rsidRPr="0089326D" w:rsidRDefault="00741A95" w:rsidP="00741A95">
      <w:pPr>
        <w:ind w:right="72"/>
        <w:jc w:val="both"/>
        <w:rPr>
          <w:noProof/>
          <w:szCs w:val="26"/>
          <w:lang w:eastAsia="ar-SA"/>
        </w:rPr>
      </w:pPr>
      <w:r w:rsidRPr="0089326D">
        <w:rPr>
          <w:noProof/>
          <w:szCs w:val="26"/>
          <w:lang w:eastAsia="ar-SA"/>
        </w:rPr>
        <w:t>Взяти до відома</w:t>
      </w:r>
      <w:r w:rsidRPr="0089326D">
        <w:rPr>
          <w:b/>
          <w:noProof/>
          <w:szCs w:val="26"/>
          <w:lang w:eastAsia="ar-SA"/>
        </w:rPr>
        <w:t xml:space="preserve"> </w:t>
      </w:r>
      <w:r w:rsidRPr="0089326D">
        <w:rPr>
          <w:noProof/>
          <w:szCs w:val="26"/>
          <w:lang w:eastAsia="ar-SA"/>
        </w:rPr>
        <w:t>висновки аудиторського звіту Товариства за 2022 рік та доручити керівнику виконавчого органу Товариства вжити заходів щодо виконання рекомендацій, наданих суб’єктом аудиторської діяльності.</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jc w:val="both"/>
        <w:rPr>
          <w:b/>
          <w:i/>
          <w:szCs w:val="26"/>
          <w:lang w:eastAsia="uk-UA"/>
        </w:rPr>
      </w:pPr>
    </w:p>
    <w:p w:rsidR="00741A95" w:rsidRPr="00741A95" w:rsidRDefault="00741A95" w:rsidP="00741A95">
      <w:pPr>
        <w:jc w:val="both"/>
        <w:rPr>
          <w:b/>
          <w:i/>
          <w:iCs/>
          <w:szCs w:val="26"/>
          <w:lang w:val="ru-RU" w:eastAsia="uk-UA"/>
        </w:rPr>
      </w:pPr>
      <w:r w:rsidRPr="00741A95">
        <w:rPr>
          <w:b/>
          <w:i/>
          <w:szCs w:val="26"/>
          <w:lang w:eastAsia="uk-UA"/>
        </w:rPr>
        <w:t xml:space="preserve">4. </w:t>
      </w:r>
      <w:r w:rsidRPr="00741A95">
        <w:rPr>
          <w:b/>
          <w:i/>
          <w:iCs/>
          <w:szCs w:val="26"/>
          <w:lang w:eastAsia="uk-UA"/>
        </w:rPr>
        <w:t>Затвердження звіту про винагороду членів наглядової ради Товариства за 2022 рік</w:t>
      </w:r>
      <w:r w:rsidRPr="00741A95">
        <w:rPr>
          <w:b/>
          <w:i/>
          <w:iCs/>
          <w:szCs w:val="26"/>
          <w:lang w:val="ru-RU" w:eastAsia="uk-UA"/>
        </w:rPr>
        <w:t>.</w:t>
      </w:r>
    </w:p>
    <w:p w:rsidR="00741A95" w:rsidRPr="00741A95" w:rsidRDefault="00741A95" w:rsidP="00741A95">
      <w:pPr>
        <w:jc w:val="both"/>
        <w:rPr>
          <w:b/>
          <w:i/>
          <w:noProof/>
          <w:szCs w:val="26"/>
          <w:lang w:eastAsia="ar-SA"/>
        </w:rPr>
      </w:pPr>
      <w:r w:rsidRPr="00741A95">
        <w:rPr>
          <w:b/>
          <w:i/>
          <w:noProof/>
          <w:szCs w:val="26"/>
          <w:lang w:eastAsia="ar-SA"/>
        </w:rPr>
        <w:t>Проєкт рішення № 1:</w:t>
      </w:r>
    </w:p>
    <w:p w:rsidR="00741A95" w:rsidRPr="00BE53D2" w:rsidRDefault="00741A95" w:rsidP="00741A95">
      <w:pPr>
        <w:jc w:val="both"/>
        <w:rPr>
          <w:noProof/>
          <w:szCs w:val="26"/>
          <w:lang w:eastAsia="ar-SA"/>
        </w:rPr>
      </w:pPr>
      <w:r w:rsidRPr="00BE53D2">
        <w:rPr>
          <w:noProof/>
          <w:szCs w:val="26"/>
          <w:lang w:eastAsia="ar-SA"/>
        </w:rPr>
        <w:t>Затвердити звіт про винагороду членів наглядової ради Товариства за 2022 рік.</w:t>
      </w:r>
    </w:p>
    <w:p w:rsidR="00741A95" w:rsidRPr="00741A95" w:rsidRDefault="00741A95" w:rsidP="00741A95">
      <w:pPr>
        <w:jc w:val="both"/>
        <w:rPr>
          <w:b/>
          <w:i/>
          <w:noProof/>
          <w:szCs w:val="26"/>
          <w:lang w:eastAsia="ar-SA"/>
        </w:rPr>
      </w:pPr>
      <w:r w:rsidRPr="00741A95">
        <w:rPr>
          <w:b/>
          <w:i/>
          <w:noProof/>
          <w:szCs w:val="26"/>
          <w:lang w:eastAsia="ar-SA"/>
        </w:rPr>
        <w:t>Проєкт рішення № 2:</w:t>
      </w:r>
    </w:p>
    <w:p w:rsidR="00741A95" w:rsidRPr="00BB536C" w:rsidRDefault="00741A95" w:rsidP="00741A95">
      <w:pPr>
        <w:jc w:val="both"/>
        <w:rPr>
          <w:noProof/>
          <w:szCs w:val="26"/>
          <w:lang w:eastAsia="ar-SA"/>
        </w:rPr>
      </w:pPr>
      <w:r w:rsidRPr="00BB536C">
        <w:rPr>
          <w:noProof/>
          <w:szCs w:val="26"/>
          <w:lang w:eastAsia="ar-SA"/>
        </w:rPr>
        <w:t>Взяти до відома звіт про винагороду членів наглядової ради Товариства за 2022 рік.</w:t>
      </w:r>
    </w:p>
    <w:p w:rsidR="00741A95" w:rsidRPr="00BE53D2" w:rsidRDefault="00741A95" w:rsidP="00741A95">
      <w:pPr>
        <w:jc w:val="both"/>
        <w:rPr>
          <w:i/>
          <w:iCs/>
          <w:szCs w:val="26"/>
          <w:lang w:eastAsia="uk-UA"/>
        </w:rPr>
      </w:pPr>
      <w:r w:rsidRPr="00BB536C">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B536C">
        <w:rPr>
          <w:i/>
          <w:iCs/>
          <w:szCs w:val="26"/>
          <w:lang w:eastAsia="uk-UA"/>
        </w:rPr>
        <w:t>проєкту</w:t>
      </w:r>
      <w:proofErr w:type="spellEnd"/>
      <w:r w:rsidRPr="00BB536C">
        <w:rPr>
          <w:i/>
          <w:iCs/>
          <w:szCs w:val="26"/>
          <w:lang w:eastAsia="uk-UA"/>
        </w:rPr>
        <w:t xml:space="preserve"> порядку денного.</w:t>
      </w:r>
    </w:p>
    <w:p w:rsidR="00741A95" w:rsidRPr="0089326D" w:rsidRDefault="00741A95" w:rsidP="00741A95">
      <w:pPr>
        <w:jc w:val="both"/>
        <w:rPr>
          <w:noProof/>
          <w:szCs w:val="26"/>
          <w:lang w:eastAsia="ar-SA"/>
        </w:rPr>
      </w:pPr>
    </w:p>
    <w:p w:rsidR="00741A95" w:rsidRPr="00741A95" w:rsidRDefault="00741A95" w:rsidP="00741A95">
      <w:pPr>
        <w:widowControl w:val="0"/>
        <w:tabs>
          <w:tab w:val="left" w:pos="0"/>
          <w:tab w:val="left" w:pos="284"/>
        </w:tabs>
        <w:contextualSpacing/>
        <w:jc w:val="both"/>
        <w:rPr>
          <w:b/>
          <w:i/>
          <w:iCs/>
          <w:szCs w:val="26"/>
          <w:lang w:eastAsia="uk-UA"/>
        </w:rPr>
      </w:pPr>
      <w:r w:rsidRPr="00741A95">
        <w:rPr>
          <w:b/>
          <w:i/>
          <w:szCs w:val="26"/>
          <w:lang w:eastAsia="uk-UA"/>
        </w:rPr>
        <w:t>5. Затвердження звіту про винагороду членів виконавчого органу Товариства за 2022 рік.</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1:</w:t>
      </w:r>
    </w:p>
    <w:p w:rsidR="00741A95" w:rsidRPr="00BE53D2" w:rsidRDefault="00741A95" w:rsidP="00741A95">
      <w:pPr>
        <w:widowControl w:val="0"/>
        <w:tabs>
          <w:tab w:val="left" w:pos="0"/>
          <w:tab w:val="left" w:pos="284"/>
        </w:tabs>
        <w:contextualSpacing/>
        <w:jc w:val="both"/>
        <w:rPr>
          <w:bCs/>
          <w:szCs w:val="26"/>
          <w:lang w:eastAsia="uk-UA"/>
        </w:rPr>
      </w:pPr>
      <w:r w:rsidRPr="00BE53D2">
        <w:rPr>
          <w:bCs/>
          <w:szCs w:val="26"/>
          <w:lang w:eastAsia="uk-UA"/>
        </w:rPr>
        <w:t>Затвердити звіт про винагороду членів виконавчого органу Товариства за 2022 рік.</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2:</w:t>
      </w:r>
    </w:p>
    <w:p w:rsidR="00741A95" w:rsidRPr="00BE53D2" w:rsidRDefault="00741A95" w:rsidP="00741A95">
      <w:pPr>
        <w:widowControl w:val="0"/>
        <w:tabs>
          <w:tab w:val="left" w:pos="0"/>
          <w:tab w:val="left" w:pos="284"/>
        </w:tabs>
        <w:contextualSpacing/>
        <w:jc w:val="both"/>
        <w:rPr>
          <w:bCs/>
          <w:szCs w:val="26"/>
          <w:lang w:eastAsia="uk-UA"/>
        </w:rPr>
      </w:pPr>
      <w:r w:rsidRPr="00BE53D2">
        <w:rPr>
          <w:bCs/>
          <w:szCs w:val="26"/>
          <w:lang w:eastAsia="uk-UA"/>
        </w:rPr>
        <w:t>Взяти до відома звіт про винагороду членів виконавчого органу Товариства за 2022 рік.</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474FA" w:rsidRDefault="00741A95" w:rsidP="00741A95">
      <w:pPr>
        <w:jc w:val="both"/>
        <w:rPr>
          <w:szCs w:val="26"/>
        </w:rPr>
      </w:pPr>
    </w:p>
    <w:p w:rsidR="00741A95" w:rsidRPr="00741A95" w:rsidRDefault="00741A95" w:rsidP="00741A95">
      <w:pPr>
        <w:jc w:val="both"/>
        <w:rPr>
          <w:b/>
          <w:i/>
          <w:szCs w:val="26"/>
          <w:lang w:eastAsia="uk-UA"/>
        </w:rPr>
      </w:pPr>
      <w:r w:rsidRPr="00741A95">
        <w:rPr>
          <w:b/>
          <w:i/>
          <w:szCs w:val="26"/>
          <w:lang w:eastAsia="uk-UA"/>
        </w:rPr>
        <w:t xml:space="preserve">6. </w:t>
      </w:r>
      <w:r w:rsidRPr="00741A95">
        <w:rPr>
          <w:b/>
          <w:i/>
          <w:iCs/>
          <w:szCs w:val="26"/>
          <w:lang w:eastAsia="uk-UA"/>
        </w:rPr>
        <w:t>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1:</w:t>
      </w:r>
    </w:p>
    <w:p w:rsidR="00741A95" w:rsidRPr="00BE53D2" w:rsidRDefault="00741A95" w:rsidP="00741A95">
      <w:pPr>
        <w:tabs>
          <w:tab w:val="left" w:pos="540"/>
        </w:tabs>
        <w:jc w:val="both"/>
        <w:rPr>
          <w:noProof/>
          <w:szCs w:val="26"/>
          <w:lang w:eastAsia="ar-SA"/>
        </w:rPr>
      </w:pPr>
      <w:r w:rsidRPr="0089326D">
        <w:rPr>
          <w:noProof/>
          <w:szCs w:val="26"/>
          <w:lang w:eastAsia="ar-SA"/>
        </w:rPr>
        <w:t>Затвердити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2:</w:t>
      </w:r>
    </w:p>
    <w:p w:rsidR="00741A95" w:rsidRPr="00BE53D2" w:rsidRDefault="00741A95" w:rsidP="00741A95">
      <w:pPr>
        <w:tabs>
          <w:tab w:val="left" w:pos="540"/>
        </w:tabs>
        <w:jc w:val="both"/>
        <w:rPr>
          <w:noProof/>
          <w:szCs w:val="26"/>
          <w:lang w:eastAsia="ar-SA"/>
        </w:rPr>
      </w:pPr>
      <w:r w:rsidRPr="00BE53D2">
        <w:rPr>
          <w:noProof/>
          <w:szCs w:val="26"/>
          <w:lang w:eastAsia="ar-SA"/>
        </w:rPr>
        <w:t>Взяти до відома</w:t>
      </w:r>
      <w:r w:rsidRPr="0089326D">
        <w:rPr>
          <w:noProof/>
          <w:szCs w:val="26"/>
          <w:lang w:eastAsia="ar-SA"/>
        </w:rPr>
        <w:t xml:space="preserve">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BE53D2" w:rsidRDefault="00741A95" w:rsidP="00741A95">
      <w:pPr>
        <w:jc w:val="both"/>
        <w:rPr>
          <w:b/>
          <w:szCs w:val="26"/>
        </w:rPr>
      </w:pPr>
    </w:p>
    <w:p w:rsidR="00741A95" w:rsidRPr="00741A95" w:rsidRDefault="00741A95" w:rsidP="00741A95">
      <w:pPr>
        <w:jc w:val="both"/>
        <w:rPr>
          <w:b/>
          <w:i/>
          <w:szCs w:val="26"/>
          <w:lang w:eastAsia="uk-UA"/>
        </w:rPr>
      </w:pPr>
      <w:r w:rsidRPr="00741A95">
        <w:rPr>
          <w:b/>
          <w:i/>
          <w:szCs w:val="26"/>
          <w:lang w:eastAsia="uk-UA"/>
        </w:rPr>
        <w:t>7. Внесення змін до Статуту Товариства шляхом викладення його в новій редакції.</w:t>
      </w:r>
    </w:p>
    <w:p w:rsidR="00741A95" w:rsidRPr="0089326D" w:rsidRDefault="00741A95" w:rsidP="00741A95">
      <w:pPr>
        <w:jc w:val="both"/>
        <w:rPr>
          <w:szCs w:val="26"/>
        </w:rPr>
      </w:pPr>
      <w:r w:rsidRPr="0089326D">
        <w:rPr>
          <w:rFonts w:eastAsia="Calibri"/>
          <w:szCs w:val="26"/>
          <w:lang w:eastAsia="en-US"/>
        </w:rPr>
        <w:t>1</w:t>
      </w:r>
      <w:r w:rsidRPr="0089326D">
        <w:rPr>
          <w:szCs w:val="26"/>
        </w:rPr>
        <w:t xml:space="preserve">. </w:t>
      </w:r>
      <w:proofErr w:type="spellStart"/>
      <w:r w:rsidRPr="0089326D">
        <w:rPr>
          <w:szCs w:val="26"/>
        </w:rPr>
        <w:t>Внести</w:t>
      </w:r>
      <w:proofErr w:type="spellEnd"/>
      <w:r w:rsidRPr="0089326D">
        <w:rPr>
          <w:szCs w:val="26"/>
        </w:rPr>
        <w:t xml:space="preserve"> зміни до Статуту Товариства шляхом викладення його в новій редакції.</w:t>
      </w:r>
    </w:p>
    <w:p w:rsidR="00741A95" w:rsidRPr="0089326D" w:rsidRDefault="00741A95" w:rsidP="00741A95">
      <w:pPr>
        <w:jc w:val="both"/>
        <w:rPr>
          <w:szCs w:val="26"/>
        </w:rPr>
      </w:pPr>
      <w:r w:rsidRPr="0089326D">
        <w:rPr>
          <w:szCs w:val="26"/>
        </w:rPr>
        <w:t xml:space="preserve">2. Уповноважити Голову та Секретаря зборів підписати Статут Товариства у новій редакції. </w:t>
      </w:r>
    </w:p>
    <w:p w:rsidR="00741A95" w:rsidRPr="0089326D" w:rsidRDefault="00741A95" w:rsidP="00741A95">
      <w:pPr>
        <w:jc w:val="both"/>
        <w:rPr>
          <w:szCs w:val="26"/>
        </w:rPr>
      </w:pPr>
      <w:r w:rsidRPr="0089326D">
        <w:rPr>
          <w:szCs w:val="26"/>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BE53D2" w:rsidRDefault="00741A95" w:rsidP="00741A95">
      <w:pPr>
        <w:jc w:val="both"/>
        <w:rPr>
          <w:b/>
          <w:szCs w:val="26"/>
        </w:rPr>
      </w:pPr>
    </w:p>
    <w:p w:rsidR="00741A95" w:rsidRPr="00741A95" w:rsidRDefault="00741A95" w:rsidP="00741A95">
      <w:pPr>
        <w:jc w:val="both"/>
        <w:rPr>
          <w:b/>
          <w:i/>
          <w:szCs w:val="26"/>
        </w:rPr>
      </w:pPr>
      <w:r w:rsidRPr="00741A95">
        <w:rPr>
          <w:b/>
          <w:i/>
          <w:szCs w:val="26"/>
        </w:rPr>
        <w:t>8. Прийняття рішення про припинення повноважень голови та членів наглядової ради Товариства.</w:t>
      </w:r>
    </w:p>
    <w:p w:rsidR="00741A95" w:rsidRPr="00BE53D2" w:rsidRDefault="00741A95" w:rsidP="00741A95">
      <w:pPr>
        <w:ind w:right="72"/>
        <w:jc w:val="both"/>
        <w:rPr>
          <w:noProof/>
          <w:szCs w:val="26"/>
          <w:lang w:eastAsia="ar-SA"/>
        </w:rPr>
      </w:pPr>
      <w:r w:rsidRPr="00BE53D2">
        <w:rPr>
          <w:noProof/>
          <w:szCs w:val="26"/>
          <w:lang w:eastAsia="ar-SA"/>
        </w:rPr>
        <w:t>Припинити повноваження наглядової ради Товариства у повному складі.</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BE53D2" w:rsidRDefault="00741A95" w:rsidP="00741A95">
      <w:pPr>
        <w:jc w:val="both"/>
        <w:rPr>
          <w:i/>
          <w:iCs/>
          <w:szCs w:val="26"/>
          <w:lang w:eastAsia="uk-UA"/>
        </w:rPr>
      </w:pPr>
    </w:p>
    <w:p w:rsidR="00741A95" w:rsidRPr="00741A95" w:rsidRDefault="00741A95" w:rsidP="00741A95">
      <w:pPr>
        <w:jc w:val="both"/>
        <w:rPr>
          <w:b/>
          <w:i/>
          <w:szCs w:val="26"/>
        </w:rPr>
      </w:pPr>
      <w:r w:rsidRPr="00741A95">
        <w:rPr>
          <w:b/>
          <w:i/>
          <w:szCs w:val="26"/>
        </w:rPr>
        <w:t>9. Обрання членів наглядової ради Товариства.</w:t>
      </w:r>
    </w:p>
    <w:p w:rsidR="00741A95" w:rsidRPr="00BE53D2" w:rsidRDefault="00741A95" w:rsidP="00741A95">
      <w:pPr>
        <w:jc w:val="both"/>
        <w:rPr>
          <w:rFonts w:eastAsia="Calibri"/>
          <w:i/>
          <w:iCs/>
          <w:szCs w:val="26"/>
          <w:lang w:eastAsia="uk-UA"/>
        </w:rPr>
      </w:pPr>
      <w:r w:rsidRPr="00BE53D2">
        <w:rPr>
          <w:rFonts w:eastAsia="Calibri"/>
          <w:i/>
          <w:iCs/>
          <w:szCs w:val="26"/>
          <w:lang w:eastAsia="uk-UA"/>
        </w:rPr>
        <w:t>Обрання членів Наглядової ради здійснюватиметься шляхом кумулятивного голосування.</w:t>
      </w:r>
    </w:p>
    <w:p w:rsidR="00741A95" w:rsidRPr="00BE53D2" w:rsidRDefault="00741A95" w:rsidP="00741A95">
      <w:pPr>
        <w:jc w:val="both"/>
        <w:rPr>
          <w:rFonts w:eastAsia="Calibri"/>
          <w:i/>
          <w:iCs/>
          <w:szCs w:val="26"/>
          <w:lang w:eastAsia="uk-UA"/>
        </w:rPr>
      </w:pPr>
      <w:r w:rsidRPr="00BE53D2">
        <w:rPr>
          <w:rFonts w:eastAsia="Calibri"/>
          <w:i/>
          <w:iCs/>
          <w:szCs w:val="26"/>
          <w:lang w:eastAsia="uk-UA"/>
        </w:rPr>
        <w:t xml:space="preserve">Можливість підрахунку голосів та прийняття рішення з цього питання залежить від прийняття рішення з питання 8 </w:t>
      </w:r>
      <w:proofErr w:type="spellStart"/>
      <w:r w:rsidRPr="00BE53D2">
        <w:rPr>
          <w:rFonts w:eastAsia="Calibri"/>
          <w:i/>
          <w:iCs/>
          <w:szCs w:val="26"/>
          <w:lang w:eastAsia="uk-UA"/>
        </w:rPr>
        <w:t>проєкту</w:t>
      </w:r>
      <w:proofErr w:type="spellEnd"/>
      <w:r w:rsidRPr="00BE53D2">
        <w:rPr>
          <w:rFonts w:eastAsia="Calibri"/>
          <w:i/>
          <w:iCs/>
          <w:szCs w:val="26"/>
          <w:lang w:eastAsia="uk-UA"/>
        </w:rPr>
        <w:t xml:space="preserve"> порядку денного.</w:t>
      </w:r>
    </w:p>
    <w:p w:rsidR="00741A95" w:rsidRPr="00BE53D2" w:rsidRDefault="00741A95" w:rsidP="00741A95">
      <w:pPr>
        <w:jc w:val="both"/>
        <w:rPr>
          <w:rFonts w:eastAsia="Calibri"/>
          <w:i/>
          <w:iCs/>
          <w:szCs w:val="26"/>
          <w:lang w:eastAsia="uk-UA"/>
        </w:rPr>
      </w:pPr>
    </w:p>
    <w:p w:rsidR="00741A95" w:rsidRPr="00741A95" w:rsidRDefault="00741A95" w:rsidP="00741A95">
      <w:pPr>
        <w:jc w:val="both"/>
        <w:rPr>
          <w:b/>
          <w:i/>
          <w:szCs w:val="26"/>
        </w:rPr>
      </w:pPr>
      <w:r w:rsidRPr="00741A95">
        <w:rPr>
          <w:b/>
          <w:i/>
          <w:szCs w:val="26"/>
        </w:rPr>
        <w:t>10. Затвердження умов цивільно-правових договорів, що укладаються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741A95" w:rsidRPr="00BE53D2" w:rsidRDefault="00741A95" w:rsidP="00741A95">
      <w:pPr>
        <w:jc w:val="both"/>
        <w:rPr>
          <w:rFonts w:eastAsia="Calibri"/>
          <w:color w:val="000000"/>
          <w:szCs w:val="26"/>
          <w:lang w:eastAsia="en-US"/>
        </w:rPr>
      </w:pPr>
      <w:r w:rsidRPr="00BE53D2">
        <w:rPr>
          <w:rFonts w:eastAsia="Calibri"/>
          <w:color w:val="000000"/>
          <w:szCs w:val="26"/>
          <w:lang w:eastAsia="en-US"/>
        </w:rPr>
        <w:t>1. Затвердити умови цивільно-правових договорів, що укладаються з членами Наглядової ради Товариства, та встановити наведений у них розмір винагороди членам Наглядової ради Товариства.</w:t>
      </w:r>
    </w:p>
    <w:p w:rsidR="00741A95" w:rsidRPr="00BE53D2" w:rsidRDefault="00741A95" w:rsidP="00741A95">
      <w:pPr>
        <w:jc w:val="both"/>
        <w:rPr>
          <w:rFonts w:eastAsia="Calibri"/>
          <w:color w:val="000000"/>
          <w:szCs w:val="26"/>
          <w:lang w:eastAsia="en-US"/>
        </w:rPr>
      </w:pPr>
      <w:r w:rsidRPr="00BE53D2">
        <w:rPr>
          <w:rFonts w:eastAsia="Calibri"/>
          <w:color w:val="000000"/>
          <w:szCs w:val="26"/>
          <w:lang w:eastAsia="en-US"/>
        </w:rPr>
        <w:lastRenderedPageBreak/>
        <w:t xml:space="preserve">2. Надати керівнику виконавчого органу Товариства повноваження на підписання цивільно-правових договорів, що укладаються з членами </w:t>
      </w:r>
      <w:r>
        <w:rPr>
          <w:rFonts w:eastAsia="Calibri"/>
          <w:color w:val="000000"/>
          <w:szCs w:val="26"/>
          <w:lang w:eastAsia="en-US"/>
        </w:rPr>
        <w:t>н</w:t>
      </w:r>
      <w:r w:rsidRPr="00BE53D2">
        <w:rPr>
          <w:rFonts w:eastAsia="Calibri"/>
          <w:color w:val="000000"/>
          <w:szCs w:val="26"/>
          <w:lang w:eastAsia="en-US"/>
        </w:rPr>
        <w:t>аглядової ради Товариства.</w:t>
      </w:r>
    </w:p>
    <w:p w:rsidR="00741A95" w:rsidRPr="00BE53D2" w:rsidRDefault="00741A95" w:rsidP="00741A95">
      <w:pPr>
        <w:jc w:val="both"/>
        <w:rPr>
          <w:rFonts w:eastAsia="Calibri"/>
          <w:i/>
          <w:iCs/>
          <w:szCs w:val="26"/>
          <w:lang w:eastAsia="uk-UA"/>
        </w:rPr>
      </w:pPr>
      <w:r w:rsidRPr="00BE53D2">
        <w:rPr>
          <w:rFonts w:eastAsia="Calibri"/>
          <w:i/>
          <w:iCs/>
          <w:szCs w:val="26"/>
          <w:lang w:eastAsia="uk-UA"/>
        </w:rPr>
        <w:t xml:space="preserve">Можливість підрахунку голосів та прийняття рішення з цього питання залежить від прийняття рішення з питання 9 </w:t>
      </w:r>
      <w:proofErr w:type="spellStart"/>
      <w:r w:rsidRPr="00BE53D2">
        <w:rPr>
          <w:rFonts w:eastAsia="Calibri"/>
          <w:i/>
          <w:iCs/>
          <w:szCs w:val="26"/>
          <w:lang w:eastAsia="uk-UA"/>
        </w:rPr>
        <w:t>проєкту</w:t>
      </w:r>
      <w:proofErr w:type="spellEnd"/>
      <w:r w:rsidRPr="00BE53D2">
        <w:rPr>
          <w:rFonts w:eastAsia="Calibri"/>
          <w:i/>
          <w:iCs/>
          <w:szCs w:val="26"/>
          <w:lang w:eastAsia="uk-UA"/>
        </w:rPr>
        <w:t xml:space="preserve"> порядку денного.</w:t>
      </w:r>
    </w:p>
    <w:p w:rsidR="00741A95" w:rsidRPr="0089326D" w:rsidRDefault="00741A95" w:rsidP="00741A95">
      <w:pPr>
        <w:jc w:val="both"/>
        <w:rPr>
          <w:b/>
          <w:i/>
          <w:szCs w:val="26"/>
          <w:lang w:eastAsia="uk-UA"/>
        </w:rPr>
      </w:pPr>
    </w:p>
    <w:p w:rsidR="00741A95" w:rsidRPr="00741A95" w:rsidRDefault="00741A95" w:rsidP="00741A95">
      <w:pPr>
        <w:ind w:left="540" w:hanging="540"/>
        <w:jc w:val="both"/>
        <w:rPr>
          <w:b/>
          <w:i/>
          <w:iCs/>
          <w:noProof/>
          <w:szCs w:val="26"/>
        </w:rPr>
      </w:pPr>
      <w:r w:rsidRPr="00741A95">
        <w:rPr>
          <w:b/>
          <w:i/>
          <w:iCs/>
          <w:noProof/>
          <w:szCs w:val="26"/>
        </w:rPr>
        <w:t>11.</w:t>
      </w:r>
      <w:r w:rsidRPr="00741A95">
        <w:rPr>
          <w:b/>
          <w:i/>
          <w:iCs/>
          <w:noProof/>
          <w:szCs w:val="26"/>
        </w:rPr>
        <w:tab/>
        <w:t>Затвердження Положення про загальні збори Товариства.</w:t>
      </w:r>
    </w:p>
    <w:p w:rsidR="00741A95" w:rsidRPr="0089326D" w:rsidRDefault="00741A95" w:rsidP="00741A95">
      <w:pPr>
        <w:jc w:val="both"/>
        <w:rPr>
          <w:iCs/>
          <w:noProof/>
          <w:szCs w:val="26"/>
        </w:rPr>
      </w:pPr>
      <w:r w:rsidRPr="0089326D">
        <w:rPr>
          <w:iCs/>
          <w:noProof/>
          <w:szCs w:val="26"/>
        </w:rPr>
        <w:t xml:space="preserve">Затвердити положення про загальні збори </w:t>
      </w:r>
      <w:r w:rsidRPr="00BE53D2">
        <w:rPr>
          <w:iCs/>
          <w:noProof/>
          <w:szCs w:val="26"/>
        </w:rPr>
        <w:t>П</w:t>
      </w:r>
      <w:proofErr w:type="spellStart"/>
      <w:r w:rsidRPr="00BE53D2">
        <w:rPr>
          <w:color w:val="000000"/>
          <w:spacing w:val="-5"/>
          <w:szCs w:val="26"/>
        </w:rPr>
        <w:t>ублічного</w:t>
      </w:r>
      <w:proofErr w:type="spellEnd"/>
      <w:r w:rsidRPr="00BE53D2">
        <w:rPr>
          <w:color w:val="000000"/>
          <w:spacing w:val="-5"/>
          <w:szCs w:val="26"/>
        </w:rPr>
        <w:t xml:space="preserve"> акціонерного товариства «Машинобудівне виробниче об’єднання «Оріон»</w:t>
      </w:r>
      <w:r w:rsidRPr="0089326D">
        <w:rPr>
          <w:iCs/>
          <w:noProof/>
          <w:szCs w:val="26"/>
        </w:rPr>
        <w:t>.</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noProof/>
          <w:szCs w:val="26"/>
        </w:rPr>
      </w:pPr>
    </w:p>
    <w:p w:rsidR="00741A95" w:rsidRPr="00741A95" w:rsidRDefault="00741A95" w:rsidP="00741A95">
      <w:pPr>
        <w:widowControl w:val="0"/>
        <w:tabs>
          <w:tab w:val="left" w:pos="0"/>
          <w:tab w:val="left" w:pos="284"/>
        </w:tabs>
        <w:contextualSpacing/>
        <w:jc w:val="both"/>
        <w:rPr>
          <w:b/>
          <w:i/>
          <w:szCs w:val="26"/>
          <w:lang w:eastAsia="uk-UA"/>
        </w:rPr>
      </w:pPr>
      <w:r w:rsidRPr="00741A95">
        <w:rPr>
          <w:b/>
          <w:i/>
          <w:szCs w:val="26"/>
          <w:lang w:eastAsia="uk-UA"/>
        </w:rPr>
        <w:t xml:space="preserve">12. Внесення змін до Положення про наглядову раду Товариства. </w:t>
      </w:r>
    </w:p>
    <w:p w:rsidR="00741A95" w:rsidRPr="00741A95" w:rsidRDefault="00741A95" w:rsidP="00741A95">
      <w:pPr>
        <w:widowControl w:val="0"/>
        <w:tabs>
          <w:tab w:val="left" w:pos="0"/>
          <w:tab w:val="left" w:pos="284"/>
        </w:tabs>
        <w:contextualSpacing/>
        <w:jc w:val="both"/>
        <w:rPr>
          <w:b/>
          <w:i/>
          <w:szCs w:val="26"/>
          <w:lang w:eastAsia="uk-UA"/>
        </w:rPr>
      </w:pPr>
      <w:proofErr w:type="spellStart"/>
      <w:r w:rsidRPr="00741A95">
        <w:rPr>
          <w:b/>
          <w:i/>
          <w:szCs w:val="26"/>
          <w:lang w:eastAsia="uk-UA"/>
        </w:rPr>
        <w:t>Проєкт</w:t>
      </w:r>
      <w:proofErr w:type="spellEnd"/>
      <w:r w:rsidRPr="00741A95">
        <w:rPr>
          <w:b/>
          <w:i/>
          <w:szCs w:val="26"/>
          <w:lang w:eastAsia="uk-UA"/>
        </w:rPr>
        <w:t xml:space="preserve"> рішення № 1: </w:t>
      </w:r>
    </w:p>
    <w:p w:rsidR="00741A95" w:rsidRDefault="00741A95" w:rsidP="00741A95">
      <w:pPr>
        <w:widowControl w:val="0"/>
        <w:tabs>
          <w:tab w:val="left" w:pos="1080"/>
        </w:tabs>
        <w:jc w:val="both"/>
        <w:rPr>
          <w:bCs/>
          <w:szCs w:val="26"/>
          <w:lang w:eastAsia="uk-UA"/>
        </w:rPr>
      </w:pPr>
      <w:proofErr w:type="spellStart"/>
      <w:r w:rsidRPr="00BE53D2">
        <w:rPr>
          <w:bCs/>
          <w:szCs w:val="26"/>
          <w:lang w:eastAsia="uk-UA"/>
        </w:rPr>
        <w:t>Вн</w:t>
      </w:r>
      <w:r>
        <w:rPr>
          <w:bCs/>
          <w:szCs w:val="26"/>
          <w:lang w:eastAsia="uk-UA"/>
        </w:rPr>
        <w:t>ести</w:t>
      </w:r>
      <w:proofErr w:type="spellEnd"/>
      <w:r>
        <w:rPr>
          <w:bCs/>
          <w:szCs w:val="26"/>
          <w:lang w:eastAsia="uk-UA"/>
        </w:rPr>
        <w:t xml:space="preserve"> зміни до П</w:t>
      </w:r>
      <w:r w:rsidRPr="00BE53D2">
        <w:rPr>
          <w:bCs/>
          <w:szCs w:val="26"/>
          <w:lang w:eastAsia="uk-UA"/>
        </w:rPr>
        <w:t>оложення про наглядову раду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 xml:space="preserve"> та затвердити його в новій редакції.</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2:</w:t>
      </w:r>
    </w:p>
    <w:p w:rsidR="00741A95" w:rsidRPr="00BE53D2" w:rsidRDefault="00741A95" w:rsidP="00741A95">
      <w:pPr>
        <w:widowControl w:val="0"/>
        <w:tabs>
          <w:tab w:val="left" w:pos="0"/>
          <w:tab w:val="left" w:pos="284"/>
        </w:tabs>
        <w:contextualSpacing/>
        <w:jc w:val="both"/>
        <w:rPr>
          <w:bCs/>
          <w:szCs w:val="26"/>
          <w:lang w:eastAsia="uk-UA"/>
        </w:rPr>
      </w:pPr>
      <w:r w:rsidRPr="00BE53D2">
        <w:rPr>
          <w:bCs/>
          <w:szCs w:val="26"/>
          <w:lang w:eastAsia="uk-UA"/>
        </w:rPr>
        <w:t xml:space="preserve">Визначити не доцільним внесення змін до </w:t>
      </w:r>
      <w:r>
        <w:rPr>
          <w:bCs/>
          <w:szCs w:val="26"/>
          <w:lang w:eastAsia="uk-UA"/>
        </w:rPr>
        <w:t>Положення про наглядову раду</w:t>
      </w:r>
      <w:r w:rsidRPr="00BE53D2">
        <w:rPr>
          <w:bCs/>
          <w:szCs w:val="26"/>
          <w:lang w:eastAsia="uk-UA"/>
        </w:rPr>
        <w:t xml:space="preserve">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iCs/>
          <w:noProof/>
          <w:szCs w:val="26"/>
        </w:rPr>
      </w:pPr>
    </w:p>
    <w:p w:rsidR="00741A95" w:rsidRPr="00741A95" w:rsidRDefault="00741A95" w:rsidP="00741A95">
      <w:pPr>
        <w:widowControl w:val="0"/>
        <w:tabs>
          <w:tab w:val="left" w:pos="0"/>
          <w:tab w:val="left" w:pos="284"/>
        </w:tabs>
        <w:contextualSpacing/>
        <w:jc w:val="both"/>
        <w:rPr>
          <w:bCs/>
          <w:i/>
          <w:iCs/>
          <w:szCs w:val="26"/>
          <w:lang w:eastAsia="uk-UA"/>
        </w:rPr>
      </w:pPr>
      <w:r w:rsidRPr="00741A95">
        <w:rPr>
          <w:b/>
          <w:i/>
          <w:szCs w:val="26"/>
          <w:lang w:eastAsia="uk-UA"/>
        </w:rPr>
        <w:t xml:space="preserve">13. Щодо доцільності внесення змін до Положення про винагороду членів наглядової ради Товариства. </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1:</w:t>
      </w:r>
    </w:p>
    <w:p w:rsidR="00741A95" w:rsidRPr="00BE53D2" w:rsidRDefault="00741A95" w:rsidP="00741A95">
      <w:pPr>
        <w:widowControl w:val="0"/>
        <w:tabs>
          <w:tab w:val="left" w:pos="1080"/>
        </w:tabs>
        <w:jc w:val="both"/>
        <w:rPr>
          <w:bCs/>
          <w:szCs w:val="26"/>
          <w:lang w:eastAsia="uk-UA"/>
        </w:rPr>
      </w:pPr>
      <w:r w:rsidRPr="00BE53D2">
        <w:rPr>
          <w:bCs/>
          <w:szCs w:val="26"/>
          <w:lang w:eastAsia="uk-UA"/>
        </w:rPr>
        <w:t>Визначити доцільним внесення змін до Положення про винагороду членів наглядової ради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w:t>
      </w:r>
    </w:p>
    <w:p w:rsidR="00741A95" w:rsidRPr="00BE53D2" w:rsidRDefault="00741A95" w:rsidP="00741A95">
      <w:pPr>
        <w:widowControl w:val="0"/>
        <w:tabs>
          <w:tab w:val="left" w:pos="1080"/>
        </w:tabs>
        <w:jc w:val="both"/>
        <w:rPr>
          <w:bCs/>
          <w:szCs w:val="26"/>
          <w:lang w:eastAsia="uk-UA"/>
        </w:rPr>
      </w:pPr>
      <w:proofErr w:type="spellStart"/>
      <w:r w:rsidRPr="00BE53D2">
        <w:rPr>
          <w:bCs/>
          <w:szCs w:val="26"/>
          <w:lang w:eastAsia="uk-UA"/>
        </w:rPr>
        <w:t>Внести</w:t>
      </w:r>
      <w:proofErr w:type="spellEnd"/>
      <w:r w:rsidRPr="00BE53D2">
        <w:rPr>
          <w:bCs/>
          <w:szCs w:val="26"/>
          <w:lang w:eastAsia="uk-UA"/>
        </w:rPr>
        <w:t xml:space="preserve"> зміни до Положення про винагороду членів наглядової ради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 xml:space="preserve"> та затвердити його в новій редакції.</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2:</w:t>
      </w:r>
    </w:p>
    <w:p w:rsidR="00741A95" w:rsidRPr="00BE53D2" w:rsidRDefault="00741A95" w:rsidP="00741A95">
      <w:pPr>
        <w:widowControl w:val="0"/>
        <w:tabs>
          <w:tab w:val="left" w:pos="1080"/>
        </w:tabs>
        <w:jc w:val="both"/>
        <w:rPr>
          <w:bCs/>
          <w:szCs w:val="26"/>
          <w:lang w:eastAsia="uk-UA"/>
        </w:rPr>
      </w:pPr>
      <w:r w:rsidRPr="00BE53D2">
        <w:rPr>
          <w:bCs/>
          <w:szCs w:val="26"/>
          <w:lang w:eastAsia="uk-UA"/>
        </w:rPr>
        <w:t>Визначити не доцільним внесення змін до Положення про винагороду членів наглядової ради П</w:t>
      </w:r>
      <w:r w:rsidRPr="00BE53D2">
        <w:rPr>
          <w:color w:val="000000"/>
          <w:spacing w:val="-5"/>
          <w:szCs w:val="26"/>
        </w:rPr>
        <w:t>ублічного акціонерного товариства «Машинобудівне виробниче об’єднання «Оріон».</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noProof/>
          <w:szCs w:val="26"/>
        </w:rPr>
      </w:pPr>
    </w:p>
    <w:p w:rsidR="00741A95" w:rsidRPr="00741A95" w:rsidRDefault="00741A95" w:rsidP="00741A95">
      <w:pPr>
        <w:jc w:val="both"/>
        <w:rPr>
          <w:b/>
          <w:i/>
          <w:iCs/>
          <w:noProof/>
          <w:szCs w:val="26"/>
        </w:rPr>
      </w:pPr>
      <w:r w:rsidRPr="00741A95">
        <w:rPr>
          <w:b/>
          <w:i/>
          <w:iCs/>
          <w:noProof/>
          <w:szCs w:val="26"/>
        </w:rPr>
        <w:t>14. Затвердження Положенням про винагороду членів виконавчого органу Товариства.</w:t>
      </w:r>
    </w:p>
    <w:p w:rsidR="00741A95" w:rsidRPr="0089326D" w:rsidRDefault="00741A95" w:rsidP="00741A95">
      <w:pPr>
        <w:jc w:val="both"/>
        <w:rPr>
          <w:iCs/>
          <w:noProof/>
          <w:szCs w:val="26"/>
        </w:rPr>
      </w:pPr>
      <w:r w:rsidRPr="0089326D">
        <w:rPr>
          <w:iCs/>
          <w:noProof/>
          <w:szCs w:val="26"/>
        </w:rPr>
        <w:t xml:space="preserve">Затвердити положення про винагороду членів виконавчого органу </w:t>
      </w:r>
      <w:r w:rsidRPr="00BE53D2">
        <w:rPr>
          <w:iCs/>
          <w:noProof/>
          <w:szCs w:val="26"/>
        </w:rPr>
        <w:t>П</w:t>
      </w:r>
      <w:proofErr w:type="spellStart"/>
      <w:r w:rsidRPr="00BE53D2">
        <w:rPr>
          <w:color w:val="000000"/>
          <w:spacing w:val="-5"/>
          <w:szCs w:val="26"/>
        </w:rPr>
        <w:t>ублічного</w:t>
      </w:r>
      <w:proofErr w:type="spellEnd"/>
      <w:r w:rsidRPr="00BE53D2">
        <w:rPr>
          <w:color w:val="000000"/>
          <w:spacing w:val="-5"/>
          <w:szCs w:val="26"/>
        </w:rPr>
        <w:t xml:space="preserve"> акціонерного товариства «Машинобудівне виробниче об’єднання «Оріон».</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noProof/>
          <w:szCs w:val="26"/>
        </w:rPr>
      </w:pPr>
    </w:p>
    <w:p w:rsidR="00741A95" w:rsidRPr="00741A95" w:rsidRDefault="00741A95" w:rsidP="00741A95">
      <w:pPr>
        <w:widowControl w:val="0"/>
        <w:tabs>
          <w:tab w:val="left" w:pos="0"/>
          <w:tab w:val="left" w:pos="284"/>
        </w:tabs>
        <w:contextualSpacing/>
        <w:jc w:val="both"/>
        <w:rPr>
          <w:b/>
          <w:i/>
          <w:szCs w:val="26"/>
          <w:lang w:eastAsia="uk-UA"/>
        </w:rPr>
      </w:pPr>
      <w:r w:rsidRPr="00741A95">
        <w:rPr>
          <w:b/>
          <w:i/>
          <w:iCs/>
          <w:noProof/>
          <w:szCs w:val="26"/>
        </w:rPr>
        <w:t xml:space="preserve">15. </w:t>
      </w:r>
      <w:r w:rsidRPr="00741A95">
        <w:rPr>
          <w:b/>
          <w:i/>
          <w:szCs w:val="26"/>
          <w:lang w:eastAsia="uk-UA"/>
        </w:rPr>
        <w:t>Внесення змін до Положення про принципи формування наглядової ради Товариства.</w:t>
      </w:r>
    </w:p>
    <w:p w:rsidR="00741A95" w:rsidRPr="00741A95" w:rsidRDefault="00741A95" w:rsidP="00741A95">
      <w:pPr>
        <w:widowControl w:val="0"/>
        <w:tabs>
          <w:tab w:val="left" w:pos="0"/>
          <w:tab w:val="left" w:pos="284"/>
        </w:tabs>
        <w:contextualSpacing/>
        <w:jc w:val="both"/>
        <w:rPr>
          <w:bCs/>
          <w:i/>
          <w:iCs/>
          <w:szCs w:val="26"/>
          <w:lang w:eastAsia="uk-UA"/>
        </w:rPr>
      </w:pPr>
      <w:proofErr w:type="spellStart"/>
      <w:r w:rsidRPr="00741A95">
        <w:rPr>
          <w:b/>
          <w:i/>
          <w:szCs w:val="26"/>
          <w:lang w:eastAsia="uk-UA"/>
        </w:rPr>
        <w:t>Проєкт</w:t>
      </w:r>
      <w:proofErr w:type="spellEnd"/>
      <w:r w:rsidRPr="00741A95">
        <w:rPr>
          <w:b/>
          <w:i/>
          <w:szCs w:val="26"/>
          <w:lang w:eastAsia="uk-UA"/>
        </w:rPr>
        <w:t xml:space="preserve"> рішення № 1: </w:t>
      </w:r>
    </w:p>
    <w:p w:rsidR="00741A95" w:rsidRDefault="00741A95" w:rsidP="00741A95">
      <w:pPr>
        <w:widowControl w:val="0"/>
        <w:tabs>
          <w:tab w:val="left" w:pos="1080"/>
        </w:tabs>
        <w:jc w:val="both"/>
        <w:rPr>
          <w:bCs/>
          <w:szCs w:val="26"/>
          <w:lang w:eastAsia="uk-UA"/>
        </w:rPr>
      </w:pPr>
      <w:proofErr w:type="spellStart"/>
      <w:r w:rsidRPr="00BE53D2">
        <w:rPr>
          <w:bCs/>
          <w:szCs w:val="26"/>
          <w:lang w:eastAsia="uk-UA"/>
        </w:rPr>
        <w:t>Внести</w:t>
      </w:r>
      <w:proofErr w:type="spellEnd"/>
      <w:r w:rsidRPr="00BE53D2">
        <w:rPr>
          <w:bCs/>
          <w:szCs w:val="26"/>
          <w:lang w:eastAsia="uk-UA"/>
        </w:rPr>
        <w:t xml:space="preserve"> зміни до Положення про принципи формування наглядової ради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 xml:space="preserve"> та затвердити його в новій редакції.</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2:</w:t>
      </w:r>
    </w:p>
    <w:p w:rsidR="00741A95" w:rsidRPr="00BE53D2" w:rsidRDefault="00741A95" w:rsidP="00741A95">
      <w:pPr>
        <w:widowControl w:val="0"/>
        <w:tabs>
          <w:tab w:val="left" w:pos="0"/>
          <w:tab w:val="left" w:pos="284"/>
        </w:tabs>
        <w:contextualSpacing/>
        <w:jc w:val="both"/>
        <w:rPr>
          <w:bCs/>
          <w:szCs w:val="26"/>
          <w:lang w:eastAsia="uk-UA"/>
        </w:rPr>
      </w:pPr>
      <w:r w:rsidRPr="00BE53D2">
        <w:rPr>
          <w:bCs/>
          <w:szCs w:val="26"/>
          <w:lang w:eastAsia="uk-UA"/>
        </w:rPr>
        <w:t>Визначити не доцільним внесення змін до Положення про принципи формування наглядової ради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noProof/>
          <w:szCs w:val="26"/>
        </w:rPr>
      </w:pPr>
    </w:p>
    <w:p w:rsidR="00741A95" w:rsidRPr="00BB536C" w:rsidRDefault="00741A95" w:rsidP="00741A95">
      <w:pPr>
        <w:ind w:left="540" w:hanging="540"/>
        <w:jc w:val="both"/>
        <w:rPr>
          <w:b/>
          <w:i/>
          <w:iCs/>
          <w:noProof/>
          <w:szCs w:val="26"/>
        </w:rPr>
      </w:pPr>
      <w:r w:rsidRPr="00BB536C">
        <w:rPr>
          <w:b/>
          <w:i/>
          <w:iCs/>
          <w:noProof/>
          <w:szCs w:val="26"/>
        </w:rPr>
        <w:t>16.</w:t>
      </w:r>
      <w:r w:rsidRPr="00BB536C">
        <w:rPr>
          <w:b/>
          <w:i/>
          <w:iCs/>
          <w:noProof/>
          <w:szCs w:val="26"/>
        </w:rPr>
        <w:tab/>
        <w:t>Призначення суб’єкта аудиторської діяльності Товариства.</w:t>
      </w:r>
    </w:p>
    <w:p w:rsidR="00741A95" w:rsidRPr="0089326D" w:rsidRDefault="00741A95" w:rsidP="00741A95">
      <w:pPr>
        <w:jc w:val="both"/>
        <w:rPr>
          <w:szCs w:val="26"/>
        </w:rPr>
      </w:pPr>
      <w:r w:rsidRPr="00BB536C">
        <w:rPr>
          <w:szCs w:val="26"/>
        </w:rPr>
        <w:t>1. Уповноважити наглядову раду Товариства на призначення суб’єкта аудиторської діяльності</w:t>
      </w:r>
      <w:r w:rsidRPr="00BB536C">
        <w:rPr>
          <w:szCs w:val="26"/>
          <w:shd w:val="clear" w:color="auto" w:fill="FFFFFF"/>
        </w:rPr>
        <w:t xml:space="preserve"> </w:t>
      </w:r>
      <w:r w:rsidRPr="00BB536C">
        <w:rPr>
          <w:szCs w:val="26"/>
        </w:rPr>
        <w:t>для проведення аудиту фінансової звітності Товариства за 2023 рік</w:t>
      </w:r>
      <w:r w:rsidRPr="00BB536C">
        <w:rPr>
          <w:szCs w:val="26"/>
          <w:shd w:val="clear" w:color="auto" w:fill="FFFFFF"/>
        </w:rPr>
        <w:t xml:space="preserve">, </w:t>
      </w:r>
      <w:r w:rsidRPr="00BB536C">
        <w:rPr>
          <w:szCs w:val="26"/>
        </w:rPr>
        <w:t>узгодження умов договору на надання аудиторських послуг та обрання особи, уповноваженої на підписання договору з суб’єктом аудиторської діяльності.</w:t>
      </w:r>
    </w:p>
    <w:p w:rsidR="00741A95" w:rsidRPr="0089326D" w:rsidRDefault="00741A95" w:rsidP="00741A95">
      <w:pPr>
        <w:jc w:val="both"/>
        <w:rPr>
          <w:szCs w:val="26"/>
        </w:rPr>
      </w:pPr>
      <w:r w:rsidRPr="0089326D">
        <w:rPr>
          <w:szCs w:val="26"/>
        </w:rPr>
        <w:lastRenderedPageBreak/>
        <w:t>2. Доручити керівнику виконавчого органу Товариства забезпечити відбір суб’єкта аудиторської діяльності відповідно до вимог законодавства України.</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noProof/>
          <w:szCs w:val="26"/>
        </w:rPr>
      </w:pPr>
    </w:p>
    <w:p w:rsidR="00741A95" w:rsidRPr="00741A95" w:rsidRDefault="00741A95" w:rsidP="00741A95">
      <w:pPr>
        <w:ind w:left="540" w:hanging="540"/>
        <w:jc w:val="both"/>
        <w:rPr>
          <w:b/>
          <w:i/>
          <w:iCs/>
          <w:noProof/>
          <w:szCs w:val="26"/>
        </w:rPr>
      </w:pPr>
      <w:r w:rsidRPr="00741A95">
        <w:rPr>
          <w:b/>
          <w:i/>
          <w:iCs/>
          <w:noProof/>
          <w:szCs w:val="26"/>
        </w:rPr>
        <w:t>17.</w:t>
      </w:r>
      <w:r w:rsidRPr="00741A95">
        <w:rPr>
          <w:b/>
          <w:i/>
          <w:iCs/>
          <w:noProof/>
          <w:szCs w:val="26"/>
        </w:rPr>
        <w:tab/>
        <w:t>Визначення основних напрямів діяльності Товариства на 2023 рік.</w:t>
      </w:r>
    </w:p>
    <w:p w:rsidR="00741A95" w:rsidRPr="0089326D" w:rsidRDefault="00741A95" w:rsidP="00741A95">
      <w:pPr>
        <w:jc w:val="both"/>
        <w:rPr>
          <w:bCs/>
          <w:szCs w:val="26"/>
          <w:lang w:eastAsia="uk-UA"/>
        </w:rPr>
      </w:pPr>
      <w:r w:rsidRPr="0089326D">
        <w:rPr>
          <w:bCs/>
          <w:szCs w:val="26"/>
          <w:lang w:eastAsia="uk-UA"/>
        </w:rPr>
        <w:t>Затвердити основні напрями діяльності Товариства на 2023 рік.</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noProof/>
          <w:szCs w:val="26"/>
        </w:rPr>
      </w:pPr>
    </w:p>
    <w:p w:rsidR="00741A95" w:rsidRPr="00741A95" w:rsidRDefault="00741A95" w:rsidP="00741A95">
      <w:pPr>
        <w:ind w:left="540" w:hanging="540"/>
        <w:jc w:val="both"/>
        <w:rPr>
          <w:b/>
          <w:i/>
          <w:iCs/>
          <w:szCs w:val="26"/>
        </w:rPr>
      </w:pPr>
      <w:r w:rsidRPr="00741A95">
        <w:rPr>
          <w:b/>
          <w:i/>
          <w:iCs/>
          <w:szCs w:val="26"/>
        </w:rPr>
        <w:t>18.</w:t>
      </w:r>
      <w:r w:rsidRPr="00741A95">
        <w:rPr>
          <w:b/>
          <w:i/>
          <w:iCs/>
          <w:szCs w:val="26"/>
        </w:rPr>
        <w:tab/>
        <w:t>Встановлення чітких цілей діяльності Товариства на 2024 рік.</w:t>
      </w:r>
    </w:p>
    <w:p w:rsidR="00741A95" w:rsidRPr="0089326D" w:rsidRDefault="00741A95" w:rsidP="00741A95">
      <w:pPr>
        <w:ind w:right="72"/>
        <w:jc w:val="both"/>
        <w:rPr>
          <w:noProof/>
          <w:szCs w:val="26"/>
          <w:lang w:eastAsia="ar-SA"/>
        </w:rPr>
      </w:pPr>
      <w:r w:rsidRPr="0089326D">
        <w:rPr>
          <w:noProof/>
          <w:szCs w:val="26"/>
          <w:lang w:eastAsia="ar-SA"/>
        </w:rPr>
        <w:t>Встановити такі чіткі цілі діяльності Товариства на  2024 рік:</w:t>
      </w:r>
    </w:p>
    <w:p w:rsidR="00741A95" w:rsidRPr="0089326D" w:rsidRDefault="00741A95" w:rsidP="00741A95">
      <w:pPr>
        <w:jc w:val="both"/>
        <w:rPr>
          <w:noProof/>
          <w:szCs w:val="26"/>
          <w:lang w:eastAsia="ar-SA"/>
        </w:rPr>
      </w:pPr>
      <w:r w:rsidRPr="0089326D">
        <w:rPr>
          <w:noProof/>
          <w:szCs w:val="26"/>
          <w:lang w:eastAsia="ar-SA"/>
        </w:rPr>
        <w:t>- провадження Товариством ринкової діяльності, забезпечення прибутковості та ефективності, нарощування темпів господарської діяльності.</w:t>
      </w:r>
    </w:p>
    <w:p w:rsidR="00741A95" w:rsidRPr="00BE53D2"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741A95" w:rsidRPr="0089326D" w:rsidRDefault="00741A95" w:rsidP="00741A95">
      <w:pPr>
        <w:ind w:left="540" w:hanging="540"/>
        <w:jc w:val="both"/>
        <w:rPr>
          <w:b/>
          <w:i/>
          <w:iCs/>
          <w:szCs w:val="26"/>
        </w:rPr>
      </w:pPr>
    </w:p>
    <w:p w:rsidR="00741A95" w:rsidRPr="00741A95" w:rsidRDefault="00741A95" w:rsidP="00741A95">
      <w:pPr>
        <w:widowControl w:val="0"/>
        <w:tabs>
          <w:tab w:val="left" w:pos="0"/>
          <w:tab w:val="left" w:pos="284"/>
        </w:tabs>
        <w:contextualSpacing/>
        <w:jc w:val="both"/>
        <w:rPr>
          <w:b/>
          <w:i/>
          <w:szCs w:val="26"/>
          <w:lang w:eastAsia="uk-UA"/>
        </w:rPr>
      </w:pPr>
      <w:r w:rsidRPr="00741A95">
        <w:rPr>
          <w:b/>
          <w:i/>
          <w:szCs w:val="26"/>
          <w:lang w:eastAsia="uk-UA"/>
        </w:rPr>
        <w:t>19. Внесення змін до Кодексу корпоративного управління Товариства.</w:t>
      </w:r>
      <w:r w:rsidRPr="00741A95">
        <w:rPr>
          <w:bCs/>
          <w:i/>
          <w:iCs/>
          <w:szCs w:val="26"/>
          <w:lang w:eastAsia="uk-UA"/>
        </w:rPr>
        <w:t xml:space="preserve"> </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1:</w:t>
      </w:r>
    </w:p>
    <w:p w:rsidR="00741A95" w:rsidRPr="00BE53D2" w:rsidRDefault="00741A95" w:rsidP="00741A95">
      <w:pPr>
        <w:widowControl w:val="0"/>
        <w:tabs>
          <w:tab w:val="left" w:pos="0"/>
          <w:tab w:val="left" w:pos="284"/>
        </w:tabs>
        <w:contextualSpacing/>
        <w:jc w:val="both"/>
        <w:rPr>
          <w:bCs/>
          <w:szCs w:val="26"/>
          <w:lang w:eastAsia="uk-UA"/>
        </w:rPr>
      </w:pPr>
      <w:proofErr w:type="spellStart"/>
      <w:r w:rsidRPr="00BE53D2">
        <w:rPr>
          <w:bCs/>
          <w:szCs w:val="26"/>
          <w:lang w:eastAsia="uk-UA"/>
        </w:rPr>
        <w:t>Внести</w:t>
      </w:r>
      <w:proofErr w:type="spellEnd"/>
      <w:r w:rsidRPr="00BE53D2">
        <w:rPr>
          <w:bCs/>
          <w:szCs w:val="26"/>
          <w:lang w:eastAsia="uk-UA"/>
        </w:rPr>
        <w:t xml:space="preserve"> зміни до Кодексу корпоративного управління </w:t>
      </w:r>
      <w:r w:rsidRPr="00BE53D2">
        <w:rPr>
          <w:color w:val="000000"/>
          <w:spacing w:val="-5"/>
          <w:szCs w:val="26"/>
        </w:rPr>
        <w:t>Публічного акціонерного товариства «Машинобудівне виробниче об’єднання «Оріон»</w:t>
      </w:r>
      <w:r w:rsidRPr="00BE53D2">
        <w:rPr>
          <w:bCs/>
          <w:szCs w:val="26"/>
          <w:lang w:eastAsia="uk-UA"/>
        </w:rPr>
        <w:t xml:space="preserve">  та затвердити його у новій редакції.</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2:</w:t>
      </w:r>
    </w:p>
    <w:p w:rsidR="00741A95" w:rsidRPr="00BE53D2" w:rsidRDefault="00741A95" w:rsidP="00741A95">
      <w:pPr>
        <w:widowControl w:val="0"/>
        <w:tabs>
          <w:tab w:val="left" w:pos="0"/>
          <w:tab w:val="left" w:pos="284"/>
        </w:tabs>
        <w:contextualSpacing/>
        <w:jc w:val="both"/>
        <w:rPr>
          <w:bCs/>
          <w:szCs w:val="26"/>
          <w:lang w:eastAsia="uk-UA"/>
        </w:rPr>
      </w:pPr>
      <w:r w:rsidRPr="00BE53D2">
        <w:rPr>
          <w:bCs/>
          <w:szCs w:val="26"/>
          <w:lang w:eastAsia="uk-UA"/>
        </w:rPr>
        <w:t>Визначити не доцільним внесення змін до Кодексу корпоративного управління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w:t>
      </w:r>
    </w:p>
    <w:p w:rsidR="00741A95" w:rsidRPr="00741A95" w:rsidRDefault="00741A95" w:rsidP="00741A95">
      <w:pPr>
        <w:widowControl w:val="0"/>
        <w:tabs>
          <w:tab w:val="left" w:pos="142"/>
          <w:tab w:val="left" w:pos="284"/>
        </w:tabs>
        <w:rPr>
          <w:b/>
          <w:i/>
          <w:iCs/>
          <w:szCs w:val="26"/>
        </w:rPr>
      </w:pPr>
      <w:proofErr w:type="spellStart"/>
      <w:r w:rsidRPr="00741A95">
        <w:rPr>
          <w:b/>
          <w:i/>
          <w:iCs/>
          <w:szCs w:val="26"/>
        </w:rPr>
        <w:t>Проєкт</w:t>
      </w:r>
      <w:proofErr w:type="spellEnd"/>
      <w:r w:rsidRPr="00741A95">
        <w:rPr>
          <w:b/>
          <w:i/>
          <w:iCs/>
          <w:szCs w:val="26"/>
        </w:rPr>
        <w:t xml:space="preserve"> рішення № 3:</w:t>
      </w:r>
    </w:p>
    <w:p w:rsidR="00741A95" w:rsidRPr="00BE53D2" w:rsidRDefault="00741A95" w:rsidP="00741A95">
      <w:pPr>
        <w:widowControl w:val="0"/>
        <w:tabs>
          <w:tab w:val="left" w:pos="0"/>
          <w:tab w:val="left" w:pos="284"/>
        </w:tabs>
        <w:contextualSpacing/>
        <w:jc w:val="both"/>
        <w:rPr>
          <w:bCs/>
          <w:szCs w:val="26"/>
          <w:lang w:eastAsia="uk-UA"/>
        </w:rPr>
      </w:pPr>
      <w:r w:rsidRPr="00BE53D2">
        <w:rPr>
          <w:bCs/>
          <w:szCs w:val="26"/>
          <w:lang w:eastAsia="uk-UA"/>
        </w:rPr>
        <w:t>Застосовувати у П</w:t>
      </w:r>
      <w:r w:rsidRPr="00BE53D2">
        <w:rPr>
          <w:color w:val="000000"/>
          <w:spacing w:val="-5"/>
          <w:szCs w:val="26"/>
        </w:rPr>
        <w:t>ублічному акціонерному товаристві «Машинобудівне виробниче об’єднання «Оріон»</w:t>
      </w:r>
      <w:r w:rsidRPr="00BE53D2">
        <w:rPr>
          <w:bCs/>
          <w:szCs w:val="26"/>
          <w:lang w:eastAsia="uk-UA"/>
        </w:rPr>
        <w:t xml:space="preserve"> Кодекс корпоративного управління, затверджений Національною комісією з цінних паперів та фондового ринку. Визнати таким, що втратив чинність Кодекс корпоративного управління П</w:t>
      </w:r>
      <w:r w:rsidRPr="00BE53D2">
        <w:rPr>
          <w:color w:val="000000"/>
          <w:spacing w:val="-5"/>
          <w:szCs w:val="26"/>
        </w:rPr>
        <w:t>ублічного акціонерного товариства «Машинобудівне виробниче об’єднання «Оріон»</w:t>
      </w:r>
      <w:r w:rsidRPr="00BE53D2">
        <w:rPr>
          <w:bCs/>
          <w:szCs w:val="26"/>
          <w:lang w:eastAsia="uk-UA"/>
        </w:rPr>
        <w:t>.</w:t>
      </w:r>
    </w:p>
    <w:p w:rsidR="00741A95" w:rsidRDefault="00741A95" w:rsidP="00741A95">
      <w:pPr>
        <w:jc w:val="both"/>
        <w:rPr>
          <w:i/>
          <w:iCs/>
          <w:szCs w:val="26"/>
          <w:lang w:eastAsia="uk-UA"/>
        </w:rPr>
      </w:pPr>
      <w:r w:rsidRPr="00BE53D2">
        <w:rPr>
          <w:i/>
          <w:iCs/>
          <w:szCs w:val="26"/>
          <w:lang w:eastAsia="uk-UA"/>
        </w:rPr>
        <w:t xml:space="preserve">Можливість підрахунку голосів та прийняття рішення з цього питання не залежить від прийняття або неприйняття рішень з питань, включених до </w:t>
      </w:r>
      <w:proofErr w:type="spellStart"/>
      <w:r w:rsidRPr="00BE53D2">
        <w:rPr>
          <w:i/>
          <w:iCs/>
          <w:szCs w:val="26"/>
          <w:lang w:eastAsia="uk-UA"/>
        </w:rPr>
        <w:t>проєкту</w:t>
      </w:r>
      <w:proofErr w:type="spellEnd"/>
      <w:r w:rsidRPr="00BE53D2">
        <w:rPr>
          <w:i/>
          <w:iCs/>
          <w:szCs w:val="26"/>
          <w:lang w:eastAsia="uk-UA"/>
        </w:rPr>
        <w:t xml:space="preserve"> порядку денного.</w:t>
      </w:r>
    </w:p>
    <w:p w:rsidR="00E96E80" w:rsidRPr="00AC63B3" w:rsidRDefault="00E96E80" w:rsidP="009E33E1">
      <w:pPr>
        <w:pStyle w:val="1"/>
        <w:jc w:val="both"/>
        <w:rPr>
          <w:rFonts w:ascii="Times New Roman" w:hAnsi="Times New Roman"/>
          <w:iCs/>
          <w:sz w:val="24"/>
          <w:szCs w:val="24"/>
          <w:lang w:eastAsia="ru-RU"/>
        </w:rPr>
      </w:pPr>
    </w:p>
    <w:p w:rsidR="008072C0" w:rsidRDefault="00DA3985" w:rsidP="008072C0">
      <w:pPr>
        <w:ind w:firstLine="708"/>
        <w:jc w:val="both"/>
      </w:pPr>
      <w:r w:rsidRPr="006D2430">
        <w:rPr>
          <w:bCs/>
        </w:rPr>
        <w:t xml:space="preserve">Адреса сторінки на власному </w:t>
      </w:r>
      <w:proofErr w:type="spellStart"/>
      <w:r w:rsidRPr="006D2430">
        <w:rPr>
          <w:bCs/>
        </w:rPr>
        <w:t>вебсайті</w:t>
      </w:r>
      <w:proofErr w:type="spellEnd"/>
      <w:r w:rsidRPr="006D2430">
        <w:rPr>
          <w:bCs/>
        </w:rPr>
        <w:t xml:space="preserve"> </w:t>
      </w:r>
      <w:r w:rsidR="00706D27">
        <w:rPr>
          <w:bCs/>
        </w:rPr>
        <w:t>Товариства</w:t>
      </w:r>
      <w:r w:rsidRPr="006D2430">
        <w:rPr>
          <w:bCs/>
        </w:rPr>
        <w:t>, на якій розміщена інформація з проектами рішень щодо кожного з п</w:t>
      </w:r>
      <w:r w:rsidRPr="00CD2FCB">
        <w:rPr>
          <w:bCs/>
        </w:rPr>
        <w:t xml:space="preserve">итань, включених до проекту порядку денного </w:t>
      </w:r>
      <w:r w:rsidR="004F1F4D">
        <w:rPr>
          <w:bCs/>
        </w:rPr>
        <w:t>позачергових</w:t>
      </w:r>
      <w:r w:rsidRPr="00CD2FCB">
        <w:rPr>
          <w:bCs/>
        </w:rPr>
        <w:t xml:space="preserve"> загальних зборів, повідомлення про проведення позачергових загальних зборів, а також інформація, зазначена</w:t>
      </w:r>
      <w:r w:rsidR="00643608">
        <w:rPr>
          <w:bCs/>
        </w:rPr>
        <w:t xml:space="preserve"> у пункті 38 Порядку</w:t>
      </w:r>
      <w:r w:rsidRPr="00CD2FCB">
        <w:rPr>
          <w:bCs/>
        </w:rPr>
        <w:t xml:space="preserve">: </w:t>
      </w:r>
      <w:hyperlink r:id="rId8" w:history="1">
        <w:r w:rsidR="008072C0" w:rsidRPr="00602076">
          <w:rPr>
            <w:rStyle w:val="a7"/>
          </w:rPr>
          <w:t>http://14309913.sc-ua.com</w:t>
        </w:r>
      </w:hyperlink>
    </w:p>
    <w:p w:rsidR="00DA3985" w:rsidRPr="008072C0" w:rsidRDefault="008072C0" w:rsidP="008072C0">
      <w:pPr>
        <w:ind w:firstLine="708"/>
        <w:jc w:val="both"/>
      </w:pPr>
      <w:r w:rsidRPr="007521E4">
        <w:rPr>
          <w:lang w:eastAsia="uk-UA"/>
        </w:rPr>
        <w:t xml:space="preserve">На дату складення переліку осіб, яким надсилається повідомлення про проведення </w:t>
      </w:r>
      <w:r w:rsidR="004F1F4D">
        <w:rPr>
          <w:lang w:eastAsia="uk-UA"/>
        </w:rPr>
        <w:t>позачергових</w:t>
      </w:r>
      <w:r w:rsidRPr="007521E4">
        <w:rPr>
          <w:lang w:eastAsia="uk-UA"/>
        </w:rPr>
        <w:t xml:space="preserve"> загальних зборів Товариства, наданого ПАТ «НДУ» станом на </w:t>
      </w:r>
      <w:r w:rsidR="0027148D">
        <w:rPr>
          <w:lang w:eastAsia="uk-UA"/>
        </w:rPr>
        <w:t>25</w:t>
      </w:r>
      <w:r w:rsidR="00643608">
        <w:rPr>
          <w:lang w:eastAsia="uk-UA"/>
        </w:rPr>
        <w:t>.0</w:t>
      </w:r>
      <w:r w:rsidR="0027148D">
        <w:rPr>
          <w:lang w:eastAsia="uk-UA"/>
        </w:rPr>
        <w:t>7</w:t>
      </w:r>
      <w:r w:rsidR="00643608">
        <w:rPr>
          <w:lang w:eastAsia="uk-UA"/>
        </w:rPr>
        <w:t>.2023</w:t>
      </w:r>
      <w:r w:rsidRPr="007521E4">
        <w:rPr>
          <w:lang w:eastAsia="uk-UA"/>
        </w:rPr>
        <w:t xml:space="preserve">, загальна </w:t>
      </w:r>
      <w:r w:rsidRPr="002F1EF1">
        <w:rPr>
          <w:lang w:eastAsia="uk-UA"/>
        </w:rPr>
        <w:t xml:space="preserve">кількість акцій становить </w:t>
      </w:r>
      <w:r w:rsidR="00643608" w:rsidRPr="002F1EF1">
        <w:rPr>
          <w:lang w:eastAsia="uk-UA"/>
        </w:rPr>
        <w:t>5 766 560</w:t>
      </w:r>
      <w:r w:rsidRPr="002F1EF1">
        <w:rPr>
          <w:lang w:eastAsia="uk-UA"/>
        </w:rPr>
        <w:t xml:space="preserve"> штук, голосуючих </w:t>
      </w:r>
      <w:r w:rsidR="00643608" w:rsidRPr="002F1EF1">
        <w:rPr>
          <w:lang w:eastAsia="uk-UA"/>
        </w:rPr>
        <w:t>4 182 662</w:t>
      </w:r>
      <w:r w:rsidRPr="002F1EF1">
        <w:rPr>
          <w:lang w:eastAsia="uk-UA"/>
        </w:rPr>
        <w:t xml:space="preserve"> штук.</w:t>
      </w:r>
    </w:p>
    <w:p w:rsidR="00DA3985" w:rsidRPr="00CD2FCB" w:rsidRDefault="00DA3985" w:rsidP="00DA3985">
      <w:pPr>
        <w:ind w:firstLine="708"/>
        <w:jc w:val="both"/>
      </w:pPr>
      <w:r w:rsidRPr="00CD2FCB">
        <w:t xml:space="preserve">Після отримання повідомлення про проведення </w:t>
      </w:r>
      <w:r w:rsidR="00643608">
        <w:t xml:space="preserve">дистанційних </w:t>
      </w:r>
      <w:r w:rsidR="004F1F4D">
        <w:t>позачергових</w:t>
      </w:r>
      <w:r w:rsidRPr="00CD2FCB">
        <w:t xml:space="preserve"> загальних зборів акціонери можуть користуватися правами, наданими відповідно до Розділів </w:t>
      </w:r>
      <w:r w:rsidR="00A34896">
        <w:rPr>
          <w:lang w:val="en-US"/>
        </w:rPr>
        <w:t>X</w:t>
      </w:r>
      <w:r w:rsidRPr="00CD2FCB">
        <w:t xml:space="preserve"> та </w:t>
      </w:r>
      <w:r w:rsidR="00A34896">
        <w:rPr>
          <w:lang w:val="en-US"/>
        </w:rPr>
        <w:t>XI</w:t>
      </w:r>
      <w:r w:rsidRPr="00CD2FCB">
        <w:t xml:space="preserve"> </w:t>
      </w:r>
      <w:r w:rsidR="00643608">
        <w:rPr>
          <w:bCs/>
        </w:rPr>
        <w:t>Порядку</w:t>
      </w:r>
      <w:r w:rsidRPr="00CD2FCB">
        <w:t>, а саме: ознайомлюватися з документами, необхідними для прийняття</w:t>
      </w:r>
      <w:bookmarkStart w:id="0" w:name="_GoBack"/>
      <w:bookmarkEnd w:id="0"/>
      <w:r w:rsidRPr="00CD2FCB">
        <w:t xml:space="preserve"> рішень з питань порядку денного; вносити пропозиції щодо питань, включених до проекту порядку денного </w:t>
      </w:r>
      <w:r w:rsidR="008E509B">
        <w:t xml:space="preserve">дистанційних </w:t>
      </w:r>
      <w:r w:rsidR="004F1F4D">
        <w:t>позачергових</w:t>
      </w:r>
      <w:r w:rsidRPr="00CD2FCB">
        <w:t xml:space="preserve"> загальних зборів, а також щодо нових кандидатів до складу органів Товариства.</w:t>
      </w:r>
    </w:p>
    <w:p w:rsidR="00CA10E1" w:rsidRDefault="00DA3985" w:rsidP="00CA10E1">
      <w:pPr>
        <w:ind w:firstLine="708"/>
        <w:jc w:val="both"/>
      </w:pPr>
      <w:r w:rsidRPr="00CD2FCB">
        <w:rPr>
          <w:bCs/>
          <w:spacing w:val="-5"/>
        </w:rPr>
        <w:t xml:space="preserve">З документами, необхідними для </w:t>
      </w:r>
      <w:r w:rsidRPr="00CD2FCB">
        <w:t xml:space="preserve">прийняття рішень з питань порядку денного </w:t>
      </w:r>
      <w:r w:rsidR="008E509B">
        <w:t xml:space="preserve">дистанційних </w:t>
      </w:r>
      <w:r w:rsidR="004F1F4D">
        <w:t>позачергових</w:t>
      </w:r>
      <w:r w:rsidR="008E509B">
        <w:t xml:space="preserve"> </w:t>
      </w:r>
      <w:r w:rsidRPr="00CD2FCB">
        <w:t xml:space="preserve">загальних зборів, </w:t>
      </w:r>
      <w:r w:rsidRPr="00CD2FCB">
        <w:rPr>
          <w:bCs/>
          <w:spacing w:val="-5"/>
        </w:rPr>
        <w:t xml:space="preserve">акціонери Товариства та їх представники можуть ознайомитися </w:t>
      </w:r>
      <w:r w:rsidRPr="00CD2FCB">
        <w:t xml:space="preserve">з дати надіслання акціонерам даного повідомлення до дати проведення </w:t>
      </w:r>
      <w:r w:rsidR="008E509B">
        <w:t xml:space="preserve">дистанційних </w:t>
      </w:r>
      <w:r w:rsidR="004F1F4D">
        <w:t>позачергових</w:t>
      </w:r>
      <w:r w:rsidRPr="00CD2FCB">
        <w:t xml:space="preserve"> загальних зборів шляхом направлення </w:t>
      </w:r>
      <w:r w:rsidR="008E509B">
        <w:t>Товариством</w:t>
      </w:r>
      <w:r w:rsidRPr="00CD2FCB">
        <w:t xml:space="preserve"> документів акціонеру на його запит засобами електронної пошти.</w:t>
      </w:r>
    </w:p>
    <w:p w:rsidR="00CA10E1" w:rsidRDefault="008E509B" w:rsidP="00CA10E1">
      <w:pPr>
        <w:ind w:firstLine="708"/>
        <w:jc w:val="both"/>
      </w:pPr>
      <w:r w:rsidRPr="008E509B">
        <w:rPr>
          <w:color w:val="000000"/>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w:t>
      </w:r>
      <w:r w:rsidRPr="008E509B">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8E509B">
        <w:rPr>
          <w:color w:val="000000"/>
          <w:lang w:eastAsia="uk-UA"/>
        </w:rPr>
        <w:t>, та направлений на адресу електронної пошти</w:t>
      </w:r>
      <w:r w:rsidR="00B65E17" w:rsidRPr="008E509B">
        <w:t>:</w:t>
      </w:r>
      <w:r w:rsidR="00B65E17">
        <w:t xml:space="preserve"> </w:t>
      </w:r>
      <w:proofErr w:type="spellStart"/>
      <w:r w:rsidR="00B65E17" w:rsidRPr="00B65E17">
        <w:rPr>
          <w:u w:val="single"/>
          <w:lang w:val="en-US"/>
        </w:rPr>
        <w:t>orion</w:t>
      </w:r>
      <w:proofErr w:type="spellEnd"/>
      <w:r w:rsidR="00B65E17" w:rsidRPr="00234E9A">
        <w:rPr>
          <w:u w:val="single"/>
        </w:rPr>
        <w:t>-</w:t>
      </w:r>
      <w:r w:rsidR="00B65E17" w:rsidRPr="00B65E17">
        <w:rPr>
          <w:u w:val="single"/>
          <w:lang w:val="en-US"/>
        </w:rPr>
        <w:t>ur</w:t>
      </w:r>
      <w:r w:rsidR="00B65E17" w:rsidRPr="00234E9A">
        <w:rPr>
          <w:u w:val="single"/>
        </w:rPr>
        <w:t>@</w:t>
      </w:r>
      <w:proofErr w:type="spellStart"/>
      <w:r w:rsidR="00B65E17" w:rsidRPr="00B65E17">
        <w:rPr>
          <w:u w:val="single"/>
          <w:lang w:val="en-US"/>
        </w:rPr>
        <w:t>ukr</w:t>
      </w:r>
      <w:proofErr w:type="spellEnd"/>
      <w:r w:rsidR="00B65E17" w:rsidRPr="00234E9A">
        <w:rPr>
          <w:u w:val="single"/>
        </w:rPr>
        <w:t>.</w:t>
      </w:r>
      <w:r w:rsidR="00B65E17" w:rsidRPr="00B65E17">
        <w:rPr>
          <w:u w:val="single"/>
          <w:lang w:val="en-US"/>
        </w:rPr>
        <w:t>net</w:t>
      </w:r>
      <w:r w:rsidR="00DA3985" w:rsidRPr="00B65E17">
        <w:rPr>
          <w:u w:val="single"/>
        </w:rPr>
        <w:t>.</w:t>
      </w:r>
      <w:r w:rsidR="00DA3985" w:rsidRPr="00CD2FCB">
        <w:t xml:space="preserve"> </w:t>
      </w:r>
      <w:r w:rsidRPr="008E509B">
        <w:rPr>
          <w:color w:val="000000"/>
          <w:lang w:eastAsia="uk-UA"/>
        </w:rPr>
        <w:t xml:space="preserve">У разі отримання належним чином оформленого запиту від акціонера, особа, відповідальна за ознайомлення акціонерів з відповідними </w:t>
      </w:r>
      <w:r w:rsidRPr="008E509B">
        <w:rPr>
          <w:color w:val="000000"/>
          <w:lang w:eastAsia="uk-UA"/>
        </w:rPr>
        <w:lastRenderedPageBreak/>
        <w:t xml:space="preserve">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r w:rsidRPr="008E509B">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8E509B">
        <w:rPr>
          <w:color w:val="000000"/>
          <w:lang w:eastAsia="uk-UA"/>
        </w:rPr>
        <w:t>.</w:t>
      </w:r>
    </w:p>
    <w:p w:rsidR="00AE7873" w:rsidRPr="00CA10E1" w:rsidRDefault="008E509B" w:rsidP="00CA10E1">
      <w:pPr>
        <w:ind w:firstLine="708"/>
        <w:jc w:val="both"/>
      </w:pPr>
      <w:r w:rsidRPr="00AE7873">
        <w:rPr>
          <w:color w:val="000000"/>
          <w:lang w:eastAsia="uk-UA"/>
        </w:rPr>
        <w:t xml:space="preserve">Товариство до дати проведення загальних зборів у встановленому ним порядку зобов'язане надавати відповіді на письмові запитання акціонерів щодо питань, включених до </w:t>
      </w:r>
      <w:proofErr w:type="spellStart"/>
      <w:r w:rsidRPr="00AE7873">
        <w:rPr>
          <w:color w:val="000000"/>
          <w:lang w:eastAsia="uk-UA"/>
        </w:rPr>
        <w:t>проєкту</w:t>
      </w:r>
      <w:proofErr w:type="spellEnd"/>
      <w:r w:rsidRPr="00AE7873">
        <w:rPr>
          <w:color w:val="000000"/>
          <w:lang w:eastAsia="uk-UA"/>
        </w:rPr>
        <w:t xml:space="preserve">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w:t>
      </w:r>
      <w:r w:rsidR="00DA3985" w:rsidRPr="00AE7873">
        <w:t xml:space="preserve"> </w:t>
      </w:r>
      <w:proofErr w:type="spellStart"/>
      <w:r w:rsidR="00CD4863" w:rsidRPr="00AE7873">
        <w:rPr>
          <w:u w:val="single"/>
          <w:lang w:val="en-US"/>
        </w:rPr>
        <w:t>orion</w:t>
      </w:r>
      <w:proofErr w:type="spellEnd"/>
      <w:r w:rsidR="00CD4863" w:rsidRPr="00AE7873">
        <w:rPr>
          <w:u w:val="single"/>
        </w:rPr>
        <w:t>-</w:t>
      </w:r>
      <w:r w:rsidR="00CD4863" w:rsidRPr="00AE7873">
        <w:rPr>
          <w:u w:val="single"/>
          <w:lang w:val="en-US"/>
        </w:rPr>
        <w:t>ur</w:t>
      </w:r>
      <w:r w:rsidR="00CD4863" w:rsidRPr="00AE7873">
        <w:rPr>
          <w:u w:val="single"/>
        </w:rPr>
        <w:t>@</w:t>
      </w:r>
      <w:proofErr w:type="spellStart"/>
      <w:r w:rsidR="00CD4863" w:rsidRPr="00AE7873">
        <w:rPr>
          <w:u w:val="single"/>
          <w:lang w:val="en-US"/>
        </w:rPr>
        <w:t>ukr</w:t>
      </w:r>
      <w:proofErr w:type="spellEnd"/>
      <w:r w:rsidR="00CD4863" w:rsidRPr="00AE7873">
        <w:rPr>
          <w:u w:val="single"/>
        </w:rPr>
        <w:t>.</w:t>
      </w:r>
      <w:r w:rsidR="00CD4863" w:rsidRPr="00AE7873">
        <w:rPr>
          <w:u w:val="single"/>
          <w:lang w:val="en-US"/>
        </w:rPr>
        <w:t>net</w:t>
      </w:r>
      <w:r w:rsidR="00CD4863" w:rsidRPr="00AE7873">
        <w:t xml:space="preserve"> </w:t>
      </w:r>
      <w:r w:rsidR="00AE7873" w:rsidRPr="00AE7873">
        <w:rPr>
          <w:color w:val="000000"/>
          <w:lang w:eastAsia="uk-UA"/>
        </w:rPr>
        <w:t>із засвідченням такого запиту кваліфікованим електронним підписом (</w:t>
      </w:r>
      <w:r w:rsidR="00AE7873" w:rsidRPr="00AE7873">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AE7873" w:rsidRPr="00AE7873">
        <w:rPr>
          <w:color w:val="000000"/>
          <w:lang w:eastAsia="uk-UA"/>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r w:rsidR="00AE7873" w:rsidRPr="00AE7873">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AE7873" w:rsidRPr="00AE7873">
        <w:rPr>
          <w:color w:val="000000"/>
          <w:lang w:eastAsia="uk-UA"/>
        </w:rPr>
        <w:t>.</w:t>
      </w:r>
    </w:p>
    <w:p w:rsidR="00DA3985" w:rsidRPr="00CD2FCB" w:rsidRDefault="00DA3985" w:rsidP="00DA3985">
      <w:pPr>
        <w:ind w:firstLine="708"/>
        <w:jc w:val="both"/>
      </w:pPr>
      <w:r w:rsidRPr="00CD2FCB">
        <w:t xml:space="preserve">Відповідальним за порядок ознайомлення акціонерів із документами, необхідними для прийняття рішень з питань порядку денного </w:t>
      </w:r>
      <w:r w:rsidR="00AE7873">
        <w:t xml:space="preserve">дистанційних </w:t>
      </w:r>
      <w:r w:rsidR="004F1F4D">
        <w:t>позачергових</w:t>
      </w:r>
      <w:r w:rsidR="00AE7873">
        <w:t xml:space="preserve"> </w:t>
      </w:r>
      <w:proofErr w:type="spellStart"/>
      <w:r w:rsidR="004F1F4D">
        <w:t>позачергових</w:t>
      </w:r>
      <w:proofErr w:type="spellEnd"/>
      <w:r w:rsidRPr="00CD2FCB">
        <w:t xml:space="preserve"> загальних зборів, </w:t>
      </w:r>
      <w:r w:rsidRPr="00D434F5">
        <w:rPr>
          <w:u w:val="single"/>
        </w:rPr>
        <w:t xml:space="preserve">є </w:t>
      </w:r>
      <w:r w:rsidR="00CD4863" w:rsidRPr="00D434F5">
        <w:rPr>
          <w:u w:val="single"/>
        </w:rPr>
        <w:t>Ковальчук Костянтин Анатолійович, к</w:t>
      </w:r>
      <w:r w:rsidRPr="00D434F5">
        <w:rPr>
          <w:u w:val="single"/>
        </w:rPr>
        <w:t>онтактний телефон: (</w:t>
      </w:r>
      <w:r w:rsidR="00CD4863" w:rsidRPr="00D434F5">
        <w:rPr>
          <w:u w:val="single"/>
        </w:rPr>
        <w:t>050</w:t>
      </w:r>
      <w:r w:rsidRPr="00D434F5">
        <w:rPr>
          <w:u w:val="single"/>
        </w:rPr>
        <w:t xml:space="preserve">) </w:t>
      </w:r>
      <w:r w:rsidR="00CD4863" w:rsidRPr="00D434F5">
        <w:rPr>
          <w:u w:val="single"/>
        </w:rPr>
        <w:t>826</w:t>
      </w:r>
      <w:r w:rsidRPr="00D434F5">
        <w:rPr>
          <w:u w:val="single"/>
        </w:rPr>
        <w:t>-</w:t>
      </w:r>
      <w:r w:rsidR="00CD4863" w:rsidRPr="00D434F5">
        <w:rPr>
          <w:u w:val="single"/>
        </w:rPr>
        <w:t>74</w:t>
      </w:r>
      <w:r w:rsidRPr="00D434F5">
        <w:rPr>
          <w:u w:val="single"/>
        </w:rPr>
        <w:t>-</w:t>
      </w:r>
      <w:r w:rsidR="00CD4863" w:rsidRPr="00D434F5">
        <w:rPr>
          <w:u w:val="single"/>
        </w:rPr>
        <w:t>66</w:t>
      </w:r>
      <w:r w:rsidRPr="00D434F5">
        <w:rPr>
          <w:u w:val="single"/>
        </w:rPr>
        <w:t>.</w:t>
      </w:r>
    </w:p>
    <w:p w:rsidR="00AE7873" w:rsidRPr="009E3148" w:rsidRDefault="00AE7873" w:rsidP="00AE7873">
      <w:pPr>
        <w:ind w:firstLine="708"/>
        <w:jc w:val="both"/>
      </w:pPr>
      <w:r w:rsidRPr="009E3148">
        <w:rPr>
          <w:color w:val="000000"/>
          <w:lang w:eastAsia="uk-UA"/>
        </w:rPr>
        <w:t xml:space="preserve">Кожний акціонер має право </w:t>
      </w:r>
      <w:proofErr w:type="spellStart"/>
      <w:r w:rsidRPr="009E3148">
        <w:rPr>
          <w:color w:val="000000"/>
          <w:lang w:eastAsia="uk-UA"/>
        </w:rPr>
        <w:t>внести</w:t>
      </w:r>
      <w:proofErr w:type="spellEnd"/>
      <w:r w:rsidRPr="009E3148">
        <w:rPr>
          <w:color w:val="000000"/>
          <w:lang w:eastAsia="uk-UA"/>
        </w:rPr>
        <w:t xml:space="preserve"> пропозиції щодо питань, включених до </w:t>
      </w:r>
      <w:proofErr w:type="spellStart"/>
      <w:r w:rsidRPr="009E3148">
        <w:rPr>
          <w:color w:val="000000"/>
          <w:lang w:eastAsia="uk-UA"/>
        </w:rPr>
        <w:t>проєкту</w:t>
      </w:r>
      <w:proofErr w:type="spellEnd"/>
      <w:r w:rsidRPr="009E3148">
        <w:rPr>
          <w:color w:val="000000"/>
          <w:lang w:eastAsia="uk-UA"/>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w:t>
      </w:r>
      <w:r w:rsidR="00DA3985" w:rsidRPr="009E3148">
        <w:t xml:space="preserve">Товариства у порядку та у строки, передбачені Розділом </w:t>
      </w:r>
      <w:r w:rsidRPr="009E3148">
        <w:rPr>
          <w:lang w:val="en-US"/>
        </w:rPr>
        <w:t>XI</w:t>
      </w:r>
      <w:r w:rsidR="00DA3985" w:rsidRPr="009E3148">
        <w:t xml:space="preserve"> </w:t>
      </w:r>
      <w:r w:rsidRPr="009E3148">
        <w:rPr>
          <w:bCs/>
        </w:rPr>
        <w:t>Порядку</w:t>
      </w:r>
      <w:r w:rsidR="00DA3985" w:rsidRPr="009E3148">
        <w:t>.</w:t>
      </w:r>
    </w:p>
    <w:p w:rsidR="009E3148" w:rsidRPr="009E3148" w:rsidRDefault="009E3148" w:rsidP="00DA3985">
      <w:pPr>
        <w:ind w:firstLine="708"/>
        <w:jc w:val="both"/>
        <w:rPr>
          <w:color w:val="000000"/>
          <w:lang w:eastAsia="uk-UA"/>
        </w:rPr>
      </w:pPr>
      <w:r w:rsidRPr="009E3148">
        <w:rPr>
          <w:color w:val="000000"/>
          <w:lang w:eastAsia="uk-UA"/>
        </w:rPr>
        <w:t>Пропозиції вносяться не пізніше ніж за двадцять днів до дати проведення загальних зборів акціонерів, а щодо кандидатів до складу органів акціонерного товариства – не пізніше ніж за сім днів до дати проведення загальних зборів акціонерів</w:t>
      </w:r>
    </w:p>
    <w:p w:rsidR="00CA10E1" w:rsidRDefault="009E3148" w:rsidP="00CA10E1">
      <w:pPr>
        <w:ind w:firstLine="708"/>
        <w:jc w:val="both"/>
      </w:pPr>
      <w:r w:rsidRPr="009E3148">
        <w:rPr>
          <w:color w:val="000000"/>
          <w:lang w:eastAsia="uk-UA"/>
        </w:rPr>
        <w:t xml:space="preserve">Пропозиція до </w:t>
      </w:r>
      <w:proofErr w:type="spellStart"/>
      <w:r w:rsidRPr="009E3148">
        <w:rPr>
          <w:color w:val="000000"/>
          <w:lang w:eastAsia="uk-UA"/>
        </w:rPr>
        <w:t>проєкту</w:t>
      </w:r>
      <w:proofErr w:type="spellEnd"/>
      <w:r w:rsidRPr="009E3148">
        <w:rPr>
          <w:color w:val="000000"/>
          <w:lang w:eastAsia="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9E3148">
        <w:rPr>
          <w:color w:val="000000"/>
          <w:lang w:eastAsia="uk-UA"/>
        </w:rPr>
        <w:t>проєкту</w:t>
      </w:r>
      <w:proofErr w:type="spellEnd"/>
      <w:r w:rsidRPr="009E3148">
        <w:rPr>
          <w:color w:val="000000"/>
          <w:lang w:eastAsia="uk-UA"/>
        </w:rPr>
        <w:t xml:space="preserve"> порядку денного та/або нові </w:t>
      </w:r>
      <w:proofErr w:type="spellStart"/>
      <w:r w:rsidRPr="009E3148">
        <w:rPr>
          <w:color w:val="000000"/>
          <w:lang w:eastAsia="uk-UA"/>
        </w:rPr>
        <w:t>проєкти</w:t>
      </w:r>
      <w:proofErr w:type="spellEnd"/>
      <w:r w:rsidRPr="009E3148">
        <w:rPr>
          <w:color w:val="000000"/>
          <w:lang w:eastAsia="uk-UA"/>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w:t>
      </w:r>
      <w:proofErr w:type="spellStart"/>
      <w:r w:rsidRPr="009E3148">
        <w:rPr>
          <w:color w:val="000000"/>
          <w:lang w:eastAsia="uk-UA"/>
        </w:rPr>
        <w:t>проєкту</w:t>
      </w:r>
      <w:proofErr w:type="spellEnd"/>
      <w:r w:rsidRPr="009E3148">
        <w:rPr>
          <w:color w:val="000000"/>
          <w:lang w:eastAsia="uk-UA"/>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w:t>
      </w:r>
      <w:r w:rsidRPr="009E3148">
        <w:rPr>
          <w:lang w:eastAsia="uk-UA"/>
        </w:rPr>
        <w:t xml:space="preserve">та/або іншим засобом електронної ідентифікації, що відповідає вимогам, визначеним Національною комісією з цінних </w:t>
      </w:r>
      <w:r w:rsidRPr="000257FC">
        <w:rPr>
          <w:lang w:eastAsia="uk-UA"/>
        </w:rPr>
        <w:t xml:space="preserve">паперів та фондового ринку) </w:t>
      </w:r>
      <w:r w:rsidRPr="000257FC">
        <w:rPr>
          <w:color w:val="000000"/>
          <w:lang w:eastAsia="uk-UA"/>
        </w:rPr>
        <w:t>на адресу електронної пошти</w:t>
      </w:r>
      <w:r w:rsidR="00DA3985" w:rsidRPr="000257FC">
        <w:t xml:space="preserve"> </w:t>
      </w:r>
      <w:hyperlink r:id="rId9" w:history="1">
        <w:r w:rsidR="00CA10E1" w:rsidRPr="0085755E">
          <w:rPr>
            <w:rStyle w:val="a7"/>
            <w:lang w:val="en-US"/>
          </w:rPr>
          <w:t>orion</w:t>
        </w:r>
        <w:r w:rsidR="00CA10E1" w:rsidRPr="00234E9A">
          <w:rPr>
            <w:rStyle w:val="a7"/>
          </w:rPr>
          <w:t>-</w:t>
        </w:r>
        <w:r w:rsidR="00CA10E1" w:rsidRPr="0085755E">
          <w:rPr>
            <w:rStyle w:val="a7"/>
            <w:lang w:val="en-US"/>
          </w:rPr>
          <w:t>ur</w:t>
        </w:r>
        <w:r w:rsidR="00CA10E1" w:rsidRPr="00234E9A">
          <w:rPr>
            <w:rStyle w:val="a7"/>
          </w:rPr>
          <w:t>@</w:t>
        </w:r>
        <w:r w:rsidR="00CA10E1" w:rsidRPr="0085755E">
          <w:rPr>
            <w:rStyle w:val="a7"/>
            <w:lang w:val="en-US"/>
          </w:rPr>
          <w:t>ukr</w:t>
        </w:r>
        <w:r w:rsidR="00CA10E1" w:rsidRPr="00234E9A">
          <w:rPr>
            <w:rStyle w:val="a7"/>
          </w:rPr>
          <w:t>.</w:t>
        </w:r>
        <w:r w:rsidR="00CA10E1" w:rsidRPr="0085755E">
          <w:rPr>
            <w:rStyle w:val="a7"/>
            <w:lang w:val="en-US"/>
          </w:rPr>
          <w:t>net</w:t>
        </w:r>
      </w:hyperlink>
      <w:r w:rsidR="00CD4863" w:rsidRPr="000257FC">
        <w:rPr>
          <w:u w:val="single"/>
        </w:rPr>
        <w:t>.</w:t>
      </w:r>
    </w:p>
    <w:p w:rsidR="00CA10E1" w:rsidRDefault="000257FC" w:rsidP="00CA10E1">
      <w:pPr>
        <w:ind w:firstLine="708"/>
        <w:jc w:val="both"/>
      </w:pPr>
      <w:r w:rsidRPr="000257FC">
        <w:rPr>
          <w:color w:val="000000"/>
          <w:lang w:eastAsia="uk-UA"/>
        </w:rPr>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CA10E1" w:rsidRDefault="000257FC" w:rsidP="00CA10E1">
      <w:pPr>
        <w:ind w:firstLine="708"/>
        <w:jc w:val="both"/>
      </w:pPr>
      <w:r w:rsidRPr="000257FC">
        <w:rPr>
          <w:color w:val="000000"/>
          <w:lang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CA10E1" w:rsidRDefault="000257FC" w:rsidP="00CA10E1">
      <w:pPr>
        <w:ind w:firstLine="708"/>
        <w:jc w:val="both"/>
      </w:pPr>
      <w:r w:rsidRPr="000257FC">
        <w:rPr>
          <w:color w:val="000000"/>
          <w:lang w:eastAsia="uk-UA"/>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CA10E1" w:rsidRDefault="000257FC" w:rsidP="00CA10E1">
      <w:pPr>
        <w:ind w:firstLine="708"/>
        <w:jc w:val="both"/>
      </w:pPr>
      <w:r w:rsidRPr="000257FC">
        <w:rPr>
          <w:color w:val="000000"/>
          <w:lang w:eastAsia="uk-UA"/>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w:t>
      </w:r>
      <w:r w:rsidRPr="000257FC">
        <w:rPr>
          <w:color w:val="000000"/>
          <w:lang w:val="ru-RU" w:eastAsia="uk-UA"/>
        </w:rPr>
        <w:t xml:space="preserve">на </w:t>
      </w:r>
      <w:r w:rsidRPr="000257FC">
        <w:rPr>
          <w:color w:val="000000"/>
          <w:lang w:eastAsia="uk-UA"/>
        </w:rPr>
        <w:t xml:space="preserve">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w:t>
      </w:r>
      <w:proofErr w:type="spellStart"/>
      <w:r w:rsidRPr="000257FC">
        <w:rPr>
          <w:color w:val="000000"/>
          <w:lang w:eastAsia="uk-UA"/>
        </w:rPr>
        <w:t>проєктів</w:t>
      </w:r>
      <w:proofErr w:type="spellEnd"/>
      <w:r w:rsidRPr="000257FC">
        <w:rPr>
          <w:color w:val="000000"/>
          <w:lang w:eastAsia="uk-UA"/>
        </w:rPr>
        <w:t xml:space="preserve"> рішень. У такому разі акціонер (його представник) </w:t>
      </w:r>
      <w:r w:rsidRPr="000257FC">
        <w:rPr>
          <w:color w:val="000000"/>
          <w:lang w:eastAsia="uk-UA"/>
        </w:rPr>
        <w:lastRenderedPageBreak/>
        <w:t xml:space="preserve">одночасно направляє копію відмови </w:t>
      </w:r>
      <w:r w:rsidRPr="00CA10E1">
        <w:rPr>
          <w:color w:val="000000"/>
          <w:lang w:eastAsia="uk-UA"/>
        </w:rPr>
        <w:t>депозитарної установи у прийнятті бюлетеня для голосування до Національної комісії з цінних паперів та фондового ринку.</w:t>
      </w:r>
    </w:p>
    <w:p w:rsidR="00CA10E1" w:rsidRDefault="00B10592" w:rsidP="00CA10E1">
      <w:pPr>
        <w:ind w:firstLine="708"/>
        <w:jc w:val="both"/>
      </w:pPr>
      <w:r w:rsidRPr="00CA10E1">
        <w:rPr>
          <w:color w:val="000000"/>
          <w:lang w:eastAsia="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CA10E1" w:rsidRDefault="00B10592" w:rsidP="00CA10E1">
      <w:pPr>
        <w:ind w:firstLine="708"/>
        <w:jc w:val="both"/>
      </w:pPr>
      <w:r w:rsidRPr="00CA10E1">
        <w:rPr>
          <w:color w:val="000000"/>
          <w:lang w:eastAsia="uk-UA"/>
        </w:rPr>
        <w:t xml:space="preserve">Представником акціонера </w:t>
      </w:r>
      <w:r w:rsidRPr="00CA10E1">
        <w:rPr>
          <w:lang w:eastAsia="uk-UA"/>
        </w:rPr>
        <w:t>–</w:t>
      </w:r>
      <w:r w:rsidRPr="00CA10E1">
        <w:rPr>
          <w:color w:val="000000"/>
          <w:lang w:eastAsia="uk-UA"/>
        </w:rPr>
        <w:t xml:space="preserve"> фізичної чи юридичної особи на загальних зборах може бути інша фізична особа або уповноважена особа юридичної особи, а представником акціонера </w:t>
      </w:r>
      <w:r w:rsidRPr="00CA10E1">
        <w:rPr>
          <w:lang w:eastAsia="uk-UA"/>
        </w:rPr>
        <w:t>-</w:t>
      </w:r>
      <w:r w:rsidRPr="00CA10E1">
        <w:rPr>
          <w:color w:val="000000"/>
          <w:lang w:eastAsia="uk-UA"/>
        </w:rPr>
        <w:t xml:space="preserve"> держави чи територіальної громади </w:t>
      </w:r>
      <w:r w:rsidRPr="00CA10E1">
        <w:rPr>
          <w:lang w:eastAsia="uk-UA"/>
        </w:rPr>
        <w:t>–</w:t>
      </w:r>
      <w:r w:rsidRPr="00CA10E1">
        <w:rPr>
          <w:color w:val="000000"/>
          <w:lang w:eastAsia="uk-UA"/>
        </w:rPr>
        <w:t xml:space="preserve"> уповноважена особа органу, що здійснює управління об’єктами державної власності чи об’єктами комунальної власності.</w:t>
      </w:r>
    </w:p>
    <w:p w:rsidR="00DA3985" w:rsidRPr="00CA10E1" w:rsidRDefault="00B10592" w:rsidP="00CA10E1">
      <w:pPr>
        <w:ind w:firstLine="708"/>
        <w:jc w:val="both"/>
      </w:pPr>
      <w:r w:rsidRPr="00CA10E1">
        <w:rPr>
          <w:color w:val="000000"/>
          <w:lang w:eastAsia="uk-UA"/>
        </w:rPr>
        <w:t>Акціонер має право призначити свого представника безстроково або на певний строк.</w:t>
      </w:r>
      <w:r w:rsidR="00DA3985" w:rsidRPr="00CA10E1">
        <w:t xml:space="preserve"> </w:t>
      </w:r>
    </w:p>
    <w:p w:rsidR="00CA10E1" w:rsidRDefault="00B10592" w:rsidP="00CA10E1">
      <w:pPr>
        <w:ind w:firstLine="708"/>
        <w:jc w:val="both"/>
      </w:pPr>
      <w:r w:rsidRPr="00CA10E1">
        <w:rPr>
          <w:color w:val="000000"/>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абзацами третім - восьмим цього пункту (у разі оформлення довіреності у вигляді електронного документу) або </w:t>
      </w:r>
      <w:r w:rsidRPr="00CA10E1">
        <w:rPr>
          <w:lang w:eastAsia="uk-UA"/>
        </w:rPr>
        <w:t>розділом VIII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w:t>
      </w:r>
      <w:r w:rsidRPr="00CA10E1">
        <w:rPr>
          <w:color w:val="000000"/>
          <w:lang w:eastAsia="uk-UA"/>
        </w:rPr>
        <w:t xml:space="preserve"> (у разі оформлення довіреності у вигляді паперового документу).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CA10E1" w:rsidRDefault="00B10592" w:rsidP="00CA10E1">
      <w:pPr>
        <w:ind w:firstLine="708"/>
        <w:jc w:val="both"/>
      </w:pPr>
      <w:r w:rsidRPr="00CA10E1">
        <w:rPr>
          <w:lang w:eastAsia="uk-UA"/>
        </w:rPr>
        <w:t xml:space="preserve">Представник акціонера може отримувати від нього перелік питань порядку денного загальних зборів з інструкцією щодо голосування з цих питань (завдання </w:t>
      </w:r>
      <w:r w:rsidRPr="00CA10E1">
        <w:rPr>
          <w:strike/>
          <w:lang w:eastAsia="uk-UA"/>
        </w:rPr>
        <w:t>на</w:t>
      </w:r>
      <w:r w:rsidRPr="00CA10E1">
        <w:rPr>
          <w:lang w:eastAsia="uk-UA"/>
        </w:rPr>
        <w:t xml:space="preserve"> щодо голосування), </w:t>
      </w:r>
      <w:r w:rsidRPr="00CA10E1">
        <w:rPr>
          <w:bCs/>
          <w:lang w:eastAsia="uk-UA"/>
        </w:rPr>
        <w:t>яка є невід'ємною частиною довіреності на право участі та голосування на загальних зборах</w:t>
      </w:r>
      <w:r w:rsidRPr="00CA10E1">
        <w:rPr>
          <w:lang w:eastAsia="uk-UA"/>
        </w:rPr>
        <w:t>.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CA10E1" w:rsidRDefault="00B10592" w:rsidP="00CA10E1">
      <w:pPr>
        <w:ind w:firstLine="708"/>
        <w:jc w:val="both"/>
      </w:pPr>
      <w:r w:rsidRPr="00CA10E1">
        <w:rPr>
          <w:lang w:eastAsia="uk-UA"/>
        </w:rPr>
        <w:t>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B10592" w:rsidRPr="00CA10E1" w:rsidRDefault="00D513B7" w:rsidP="00CA10E1">
      <w:pPr>
        <w:ind w:firstLine="708"/>
        <w:jc w:val="both"/>
      </w:pPr>
      <w:hyperlink r:id="rId10" w:tgtFrame="_blank" w:history="1">
        <w:r w:rsidR="00B10592" w:rsidRPr="00CA10E1">
          <w:rPr>
            <w:lang w:eastAsia="uk-UA"/>
          </w:rPr>
          <w:t>Посвідчені депозитарною установою довіреності на право участі та голосування на загальних зборах у вигляді електронних документів підлягають реєстрації в Журналі обліку посвідчених довіреностей на право участі та голосування на загальних зборах, що ведеться відповідною депозитарною установою.</w:t>
        </w:r>
      </w:hyperlink>
    </w:p>
    <w:p w:rsidR="00CA10E1" w:rsidRDefault="00B10592" w:rsidP="00CA10E1">
      <w:pPr>
        <w:ind w:firstLine="708"/>
        <w:jc w:val="both"/>
        <w:rPr>
          <w:color w:val="000000"/>
          <w:lang w:eastAsia="uk-UA"/>
        </w:rPr>
      </w:pPr>
      <w:r w:rsidRPr="00CA10E1">
        <w:rPr>
          <w:color w:val="000000"/>
          <w:lang w:eastAsia="uk-UA"/>
        </w:rPr>
        <w:t>Акціонер має право видати довіреність на право участі та голосування на загальних зборах декільком своїм представникам.</w:t>
      </w:r>
    </w:p>
    <w:p w:rsidR="00CA10E1" w:rsidRDefault="00BF4C26" w:rsidP="00CA10E1">
      <w:pPr>
        <w:ind w:firstLine="708"/>
        <w:jc w:val="both"/>
        <w:rPr>
          <w:color w:val="000000"/>
          <w:lang w:eastAsia="uk-UA"/>
        </w:rPr>
      </w:pPr>
      <w:r w:rsidRPr="00CA10E1">
        <w:rPr>
          <w:color w:val="000000"/>
          <w:lang w:eastAsia="uk-UA"/>
        </w:rPr>
        <w:t xml:space="preserve">У разі подання бюлетенів декількома представниками депонента, </w:t>
      </w:r>
      <w:r w:rsidRPr="00CA10E1">
        <w:rPr>
          <w:lang w:eastAsia="uk-UA"/>
        </w:rPr>
        <w:t>здійснюється ідентифікація та реєстрація того представника</w:t>
      </w:r>
      <w:r w:rsidRPr="00CA10E1">
        <w:rPr>
          <w:color w:val="000000"/>
          <w:lang w:eastAsia="uk-UA"/>
        </w:rPr>
        <w:t>, довіреність якому була видана пізніше.</w:t>
      </w:r>
      <w:bookmarkStart w:id="1" w:name="215"/>
    </w:p>
    <w:p w:rsidR="00CA10E1" w:rsidRDefault="00BF4C26" w:rsidP="00CA10E1">
      <w:pPr>
        <w:ind w:firstLine="708"/>
        <w:jc w:val="both"/>
        <w:rPr>
          <w:color w:val="000000"/>
          <w:lang w:eastAsia="uk-UA"/>
        </w:rPr>
      </w:pPr>
      <w:r w:rsidRPr="00CA10E1">
        <w:rPr>
          <w:color w:val="000000"/>
          <w:lang w:eastAsia="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bookmarkStart w:id="2" w:name="216"/>
      <w:bookmarkEnd w:id="1"/>
    </w:p>
    <w:p w:rsidR="00CA10E1" w:rsidRDefault="00BF4C26" w:rsidP="00CA10E1">
      <w:pPr>
        <w:ind w:firstLine="708"/>
        <w:jc w:val="both"/>
        <w:rPr>
          <w:color w:val="000000"/>
          <w:lang w:eastAsia="uk-UA"/>
        </w:rPr>
      </w:pPr>
      <w:r w:rsidRPr="00CA10E1">
        <w:rPr>
          <w:color w:val="000000"/>
          <w:lang w:eastAsia="uk-UA"/>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bookmarkStart w:id="3" w:name="217"/>
      <w:bookmarkEnd w:id="2"/>
    </w:p>
    <w:p w:rsidR="00CA10E1" w:rsidRDefault="00BF4C26" w:rsidP="00CA10E1">
      <w:pPr>
        <w:ind w:firstLine="708"/>
        <w:jc w:val="both"/>
        <w:rPr>
          <w:color w:val="000000"/>
          <w:lang w:eastAsia="uk-UA"/>
        </w:rPr>
      </w:pPr>
      <w:r w:rsidRPr="00CA10E1">
        <w:rPr>
          <w:color w:val="000000"/>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bookmarkEnd w:id="3"/>
    </w:p>
    <w:p w:rsidR="00CA10E1" w:rsidRDefault="00BF4C26" w:rsidP="00CA10E1">
      <w:pPr>
        <w:ind w:firstLine="708"/>
        <w:jc w:val="both"/>
        <w:rPr>
          <w:color w:val="000000"/>
          <w:lang w:eastAsia="uk-UA"/>
        </w:rPr>
      </w:pPr>
      <w:r w:rsidRPr="00CA10E1">
        <w:rPr>
          <w:color w:val="000000"/>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CA10E1" w:rsidRDefault="00BF4C26" w:rsidP="00CA10E1">
      <w:pPr>
        <w:ind w:firstLine="708"/>
        <w:jc w:val="both"/>
        <w:rPr>
          <w:color w:val="000000"/>
          <w:lang w:eastAsia="uk-UA"/>
        </w:rPr>
      </w:pPr>
      <w:r w:rsidRPr="00CA10E1">
        <w:rPr>
          <w:color w:val="000000"/>
          <w:lang w:eastAsia="uk-UA"/>
        </w:rPr>
        <w:t>Потенційний представник може отримати довіреність від більше ніж одного акціонера без обмеження кількості представлених таким чином акціонерів. Потенційний представник, який отримав довіреності від кількох акціонерів, може обрати різні варіанти голосування за кожного акціонера, якого він представляє.</w:t>
      </w:r>
    </w:p>
    <w:p w:rsidR="00CA10E1" w:rsidRPr="00CA10E1" w:rsidRDefault="00BF4C26" w:rsidP="00CA10E1">
      <w:pPr>
        <w:ind w:firstLine="708"/>
        <w:jc w:val="both"/>
        <w:rPr>
          <w:color w:val="000000"/>
          <w:lang w:eastAsia="uk-UA"/>
        </w:rPr>
      </w:pPr>
      <w:r w:rsidRPr="00CA10E1">
        <w:rPr>
          <w:color w:val="000000"/>
          <w:lang w:eastAsia="uk-UA"/>
        </w:rPr>
        <w:lastRenderedPageBreak/>
        <w:t xml:space="preserve">Голосування на загальних зборах з відповідних питань порядку денного розпочинається з моменту розміщення на веб-сайті Товариства: </w:t>
      </w:r>
      <w:r w:rsidRPr="00CA10E1">
        <w:rPr>
          <w:color w:val="000000"/>
        </w:rPr>
        <w:t>http://14309913.sc-ua.com</w:t>
      </w:r>
      <w:r w:rsidRPr="00CA10E1">
        <w:t xml:space="preserve">  </w:t>
      </w:r>
      <w:r w:rsidRPr="00CA10E1">
        <w:rPr>
          <w:color w:val="000000"/>
          <w:lang w:eastAsia="uk-UA"/>
        </w:rPr>
        <w:t>відповідного бюлетеня для голосування.</w:t>
      </w:r>
    </w:p>
    <w:p w:rsidR="00CA10E1" w:rsidRDefault="00BF4C26" w:rsidP="00CA10E1">
      <w:pPr>
        <w:ind w:firstLine="708"/>
        <w:jc w:val="both"/>
        <w:rPr>
          <w:color w:val="000000"/>
          <w:lang w:eastAsia="uk-UA"/>
        </w:rPr>
      </w:pPr>
      <w:r w:rsidRPr="00CA10E1">
        <w:rPr>
          <w:color w:val="000000"/>
          <w:lang w:eastAsia="uk-UA"/>
        </w:rPr>
        <w:t xml:space="preserve">Голосування на загальних зборах завершується о 18 годині дня, який зазначено у повідомленні про проведення загальних зборів відповідно до підпункту 2 пункту </w:t>
      </w:r>
      <w:r w:rsidRPr="00CA10E1">
        <w:rPr>
          <w:color w:val="000000"/>
          <w:lang w:val="ru-RU" w:eastAsia="uk-UA"/>
        </w:rPr>
        <w:t>37</w:t>
      </w:r>
      <w:r w:rsidRPr="00CA10E1">
        <w:rPr>
          <w:color w:val="000000"/>
          <w:lang w:eastAsia="uk-UA"/>
        </w:rPr>
        <w:t xml:space="preserve"> розділу ІХ цього Порядку</w:t>
      </w:r>
      <w:r w:rsidR="00FE0C38" w:rsidRPr="00CA10E1">
        <w:rPr>
          <w:color w:val="000000"/>
          <w:lang w:eastAsia="uk-UA"/>
        </w:rPr>
        <w:t xml:space="preserve"> – </w:t>
      </w:r>
      <w:r w:rsidR="0027148D">
        <w:rPr>
          <w:color w:val="000000"/>
          <w:lang w:eastAsia="uk-UA"/>
        </w:rPr>
        <w:t>04</w:t>
      </w:r>
      <w:r w:rsidR="00FE0C38" w:rsidRPr="00CA10E1">
        <w:rPr>
          <w:color w:val="000000"/>
          <w:lang w:eastAsia="uk-UA"/>
        </w:rPr>
        <w:t xml:space="preserve"> </w:t>
      </w:r>
      <w:r w:rsidR="0027148D">
        <w:rPr>
          <w:color w:val="000000"/>
          <w:lang w:eastAsia="uk-UA"/>
        </w:rPr>
        <w:t>верес</w:t>
      </w:r>
      <w:r w:rsidR="00FE0C38" w:rsidRPr="00CA10E1">
        <w:rPr>
          <w:color w:val="000000"/>
          <w:lang w:eastAsia="uk-UA"/>
        </w:rPr>
        <w:t>ня 2023</w:t>
      </w:r>
      <w:r w:rsidRPr="00CA10E1">
        <w:rPr>
          <w:color w:val="000000"/>
          <w:lang w:eastAsia="uk-UA"/>
        </w:rPr>
        <w:t>.</w:t>
      </w:r>
    </w:p>
    <w:p w:rsidR="00CA10E1" w:rsidRDefault="00FE0C38" w:rsidP="00CA10E1">
      <w:pPr>
        <w:ind w:firstLine="708"/>
        <w:jc w:val="both"/>
        <w:rPr>
          <w:color w:val="000000"/>
          <w:lang w:eastAsia="uk-UA"/>
        </w:rPr>
      </w:pPr>
      <w:r w:rsidRPr="00CA10E1">
        <w:rPr>
          <w:color w:val="000000"/>
          <w:lang w:eastAsia="uk-UA"/>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CA10E1" w:rsidRDefault="00FE0C38" w:rsidP="00CA10E1">
      <w:pPr>
        <w:ind w:firstLine="708"/>
        <w:jc w:val="both"/>
        <w:rPr>
          <w:color w:val="000000"/>
          <w:lang w:eastAsia="uk-UA"/>
        </w:rPr>
      </w:pPr>
      <w:r w:rsidRPr="00CA10E1">
        <w:rPr>
          <w:color w:val="000000"/>
          <w:lang w:eastAsia="uk-UA"/>
        </w:rPr>
        <w:t xml:space="preserve">Голосування на загальних зборах з питань порядку денного проводиться виключно з використанням бюлетенів для голосування </w:t>
      </w:r>
      <w:r w:rsidRPr="00CA10E1">
        <w:rPr>
          <w:lang w:eastAsia="uk-UA"/>
        </w:rPr>
        <w:t>–</w:t>
      </w:r>
      <w:r w:rsidRPr="00CA10E1">
        <w:rPr>
          <w:color w:val="000000"/>
          <w:lang w:eastAsia="uk-UA"/>
        </w:rPr>
        <w:t xml:space="preserve">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 бюлетеня для голосування власників привілейованих акцій товариства.</w:t>
      </w:r>
    </w:p>
    <w:p w:rsidR="00CA10E1" w:rsidRDefault="008A0C08" w:rsidP="00CA10E1">
      <w:pPr>
        <w:ind w:firstLine="708"/>
        <w:jc w:val="both"/>
        <w:rPr>
          <w:color w:val="000000"/>
          <w:lang w:eastAsia="uk-UA"/>
        </w:rPr>
      </w:pPr>
      <w:r w:rsidRPr="00CA10E1">
        <w:rPr>
          <w:color w:val="000000"/>
          <w:lang w:eastAsia="uk-UA"/>
        </w:rPr>
        <w:t>Єдиний бюлетень для голосування з питань обрання органів товариства (крім кумулятивного голосування) / бюлетень для голосування (щодо інших питань порядку денного, крім обрання органів товариства) / бюлетень для голосування власників привілейованих акцій товариства складається щодо всіх питань порядку денного загальних зборів за відповідною категорією питань).</w:t>
      </w:r>
      <w:bookmarkStart w:id="4" w:name="301"/>
    </w:p>
    <w:p w:rsidR="00CA10E1" w:rsidRDefault="008A0C08" w:rsidP="00CA10E1">
      <w:pPr>
        <w:ind w:firstLine="708"/>
        <w:jc w:val="both"/>
        <w:rPr>
          <w:color w:val="000000"/>
          <w:lang w:eastAsia="uk-UA"/>
        </w:rPr>
      </w:pPr>
      <w:r w:rsidRPr="00CA10E1">
        <w:rPr>
          <w:lang w:eastAsia="uk-UA"/>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r w:rsidRPr="00CA10E1">
        <w:rPr>
          <w:color w:val="000000"/>
          <w:lang w:eastAsia="uk-UA"/>
        </w:rPr>
        <w:t>.</w:t>
      </w:r>
      <w:bookmarkStart w:id="5" w:name="302"/>
      <w:bookmarkEnd w:id="4"/>
    </w:p>
    <w:p w:rsidR="00CA10E1" w:rsidRDefault="008A0C08" w:rsidP="00CA10E1">
      <w:pPr>
        <w:ind w:firstLine="708"/>
        <w:jc w:val="both"/>
        <w:rPr>
          <w:color w:val="000000"/>
          <w:lang w:eastAsia="uk-UA"/>
        </w:rPr>
      </w:pPr>
      <w:r w:rsidRPr="00CA10E1">
        <w:rPr>
          <w:color w:val="000000"/>
          <w:lang w:eastAsia="uk-UA"/>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bookmarkEnd w:id="5"/>
    </w:p>
    <w:p w:rsidR="00CA10E1" w:rsidRDefault="008A0C08" w:rsidP="00CA10E1">
      <w:pPr>
        <w:ind w:firstLine="708"/>
        <w:jc w:val="both"/>
        <w:rPr>
          <w:color w:val="000000"/>
          <w:lang w:eastAsia="uk-UA"/>
        </w:rPr>
      </w:pPr>
      <w:r w:rsidRPr="00CA10E1">
        <w:rPr>
          <w:color w:val="000000"/>
          <w:lang w:eastAsia="uk-UA"/>
        </w:rPr>
        <w:t xml:space="preserve">Бюлетень, що був отриманий депозитарною установою після завершення часу, відведеного на голосування відповідно до пункту </w:t>
      </w:r>
      <w:r w:rsidRPr="00CA10E1">
        <w:rPr>
          <w:color w:val="000000"/>
          <w:lang w:val="ru-RU" w:eastAsia="uk-UA"/>
        </w:rPr>
        <w:t>79</w:t>
      </w:r>
      <w:r w:rsidRPr="00CA10E1">
        <w:rPr>
          <w:color w:val="000000"/>
          <w:lang w:eastAsia="uk-UA"/>
        </w:rPr>
        <w:t xml:space="preserve"> розділу </w:t>
      </w:r>
      <w:r w:rsidRPr="00CA10E1">
        <w:rPr>
          <w:color w:val="000000"/>
          <w:lang w:val="en-US" w:eastAsia="uk-UA"/>
        </w:rPr>
        <w:t>XIV</w:t>
      </w:r>
      <w:r w:rsidRPr="00CA10E1">
        <w:rPr>
          <w:color w:val="000000"/>
          <w:lang w:val="ru-RU" w:eastAsia="uk-UA"/>
        </w:rPr>
        <w:t xml:space="preserve"> </w:t>
      </w:r>
      <w:r w:rsidRPr="00CA10E1">
        <w:rPr>
          <w:color w:val="000000"/>
          <w:lang w:eastAsia="uk-UA"/>
        </w:rPr>
        <w:t>цього Порядку, вважається таким, що не поданий.</w:t>
      </w:r>
    </w:p>
    <w:p w:rsidR="00DA3985" w:rsidRDefault="00CD4863" w:rsidP="00CA10E1">
      <w:pPr>
        <w:ind w:firstLine="708"/>
        <w:jc w:val="both"/>
      </w:pPr>
      <w:r w:rsidRPr="00CA10E1">
        <w:t>Товариство</w:t>
      </w:r>
      <w:r w:rsidR="00DA3985" w:rsidRPr="00CA10E1">
        <w:t xml:space="preserve">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CA10E1" w:rsidRDefault="00CA10E1" w:rsidP="00CA10E1">
      <w:pPr>
        <w:ind w:firstLine="708"/>
        <w:jc w:val="both"/>
      </w:pPr>
    </w:p>
    <w:p w:rsidR="00CA10E1" w:rsidRPr="00CA10E1" w:rsidRDefault="00CA10E1" w:rsidP="00CA10E1">
      <w:pPr>
        <w:jc w:val="center"/>
        <w:rPr>
          <w:b/>
          <w:sz w:val="26"/>
          <w:szCs w:val="26"/>
        </w:rPr>
      </w:pPr>
      <w:r w:rsidRPr="00CA10E1">
        <w:rPr>
          <w:b/>
          <w:sz w:val="26"/>
          <w:szCs w:val="26"/>
        </w:rPr>
        <w:t>Основні показники фінансово-господарської діяльності ПАТ «МВО «Оріон»</w:t>
      </w:r>
    </w:p>
    <w:p w:rsidR="00CA10E1" w:rsidRPr="00CA10E1" w:rsidRDefault="00CA10E1" w:rsidP="00CA10E1">
      <w:pPr>
        <w:jc w:val="center"/>
        <w:rPr>
          <w:b/>
          <w:sz w:val="26"/>
          <w:szCs w:val="26"/>
        </w:rPr>
      </w:pPr>
      <w:r w:rsidRPr="00CA10E1">
        <w:rPr>
          <w:b/>
          <w:sz w:val="26"/>
          <w:szCs w:val="26"/>
        </w:rPr>
        <w:t>(тис. грн)</w:t>
      </w:r>
    </w:p>
    <w:p w:rsidR="00CA10E1" w:rsidRPr="00CA10E1" w:rsidRDefault="00CA10E1" w:rsidP="00CA10E1">
      <w:pPr>
        <w:jc w:val="center"/>
        <w:rPr>
          <w:b/>
          <w:sz w:val="26"/>
          <w:szCs w:val="26"/>
        </w:rPr>
      </w:pPr>
    </w:p>
    <w:tbl>
      <w:tblPr>
        <w:tblW w:w="495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09"/>
        <w:gridCol w:w="1595"/>
        <w:gridCol w:w="1665"/>
        <w:gridCol w:w="2092"/>
      </w:tblGrid>
      <w:tr w:rsidR="00234E9A" w:rsidRPr="00C50A29" w:rsidTr="008B346F">
        <w:trPr>
          <w:tblCellSpacing w:w="22" w:type="dxa"/>
        </w:trPr>
        <w:tc>
          <w:tcPr>
            <w:tcW w:w="2302" w:type="pct"/>
            <w:vMerge w:val="restar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Найменування показника</w:t>
            </w:r>
          </w:p>
        </w:tc>
        <w:tc>
          <w:tcPr>
            <w:tcW w:w="2633" w:type="pct"/>
            <w:gridSpan w:val="3"/>
            <w:tcBorders>
              <w:top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Період</w:t>
            </w:r>
          </w:p>
        </w:tc>
      </w:tr>
      <w:tr w:rsidR="00234E9A" w:rsidRPr="00C50A29" w:rsidTr="008B346F">
        <w:trPr>
          <w:tblCellSpacing w:w="22" w:type="dxa"/>
        </w:trPr>
        <w:tc>
          <w:tcPr>
            <w:tcW w:w="2302" w:type="pct"/>
            <w:vMerge/>
            <w:tcBorders>
              <w:top w:val="outset" w:sz="6" w:space="0" w:color="auto"/>
              <w:bottom w:val="outset" w:sz="6" w:space="0" w:color="auto"/>
              <w:right w:val="outset" w:sz="6" w:space="0" w:color="auto"/>
            </w:tcBorders>
            <w:vAlign w:val="center"/>
          </w:tcPr>
          <w:p w:rsidR="00234E9A" w:rsidRPr="00C50A29" w:rsidRDefault="00234E9A" w:rsidP="008B346F"/>
        </w:tc>
        <w:tc>
          <w:tcPr>
            <w:tcW w:w="786" w:type="pct"/>
            <w:tcBorders>
              <w:top w:val="outset" w:sz="6" w:space="0" w:color="auto"/>
              <w:bottom w:val="outset" w:sz="6" w:space="0" w:color="auto"/>
              <w:right w:val="outset" w:sz="6" w:space="0" w:color="auto"/>
            </w:tcBorders>
          </w:tcPr>
          <w:p w:rsidR="00234E9A" w:rsidRDefault="00234E9A" w:rsidP="008B346F">
            <w:pPr>
              <w:pStyle w:val="a3"/>
              <w:jc w:val="center"/>
              <w:rPr>
                <w:lang w:val="uk-UA"/>
              </w:rPr>
            </w:pPr>
            <w:r w:rsidRPr="00A34E17">
              <w:rPr>
                <w:lang w:val="uk-UA"/>
              </w:rPr>
              <w:t>20</w:t>
            </w:r>
            <w:r>
              <w:rPr>
                <w:lang w:val="uk-UA"/>
              </w:rPr>
              <w:t>20</w:t>
            </w:r>
            <w:r w:rsidRPr="00A34E17">
              <w:rPr>
                <w:lang w:val="uk-UA"/>
              </w:rPr>
              <w:t xml:space="preserve"> рік</w:t>
            </w:r>
          </w:p>
          <w:p w:rsidR="00234E9A" w:rsidRPr="009A6B38" w:rsidRDefault="00234E9A" w:rsidP="008B346F">
            <w:pPr>
              <w:jc w:val="center"/>
              <w:rPr>
                <w:color w:val="FF0000"/>
                <w:lang w:eastAsia="en-US"/>
              </w:rPr>
            </w:pPr>
          </w:p>
        </w:tc>
        <w:tc>
          <w:tcPr>
            <w:tcW w:w="821" w:type="pct"/>
            <w:tcBorders>
              <w:top w:val="outset" w:sz="6" w:space="0" w:color="auto"/>
              <w:left w:val="outset" w:sz="6" w:space="0" w:color="auto"/>
              <w:bottom w:val="outset" w:sz="6" w:space="0" w:color="auto"/>
              <w:right w:val="outset" w:sz="6" w:space="0" w:color="auto"/>
            </w:tcBorders>
          </w:tcPr>
          <w:p w:rsidR="00234E9A" w:rsidRDefault="00234E9A" w:rsidP="008B346F">
            <w:pPr>
              <w:pStyle w:val="a3"/>
              <w:jc w:val="center"/>
              <w:rPr>
                <w:lang w:val="uk-UA"/>
              </w:rPr>
            </w:pPr>
            <w:r>
              <w:rPr>
                <w:lang w:val="uk-UA"/>
              </w:rPr>
              <w:t>2021</w:t>
            </w:r>
            <w:r w:rsidRPr="0015701F">
              <w:rPr>
                <w:lang w:val="uk-UA"/>
              </w:rPr>
              <w:t xml:space="preserve"> рік</w:t>
            </w:r>
          </w:p>
          <w:p w:rsidR="00234E9A" w:rsidRPr="009A6B38" w:rsidRDefault="00234E9A" w:rsidP="008B346F">
            <w:pPr>
              <w:ind w:firstLine="708"/>
              <w:rPr>
                <w:color w:val="FF0000"/>
                <w:lang w:eastAsia="en-US"/>
              </w:rPr>
            </w:pPr>
          </w:p>
        </w:tc>
        <w:tc>
          <w:tcPr>
            <w:tcW w:w="982" w:type="pct"/>
            <w:tcBorders>
              <w:top w:val="outset" w:sz="6" w:space="0" w:color="auto"/>
              <w:left w:val="outset" w:sz="6" w:space="0" w:color="auto"/>
              <w:bottom w:val="outset" w:sz="6" w:space="0" w:color="auto"/>
            </w:tcBorders>
          </w:tcPr>
          <w:p w:rsidR="00234E9A" w:rsidRDefault="00234E9A" w:rsidP="008B346F">
            <w:pPr>
              <w:pStyle w:val="a3"/>
              <w:jc w:val="center"/>
              <w:rPr>
                <w:lang w:val="uk-UA"/>
              </w:rPr>
            </w:pPr>
            <w:r>
              <w:rPr>
                <w:lang w:val="uk-UA"/>
              </w:rPr>
              <w:t>2022</w:t>
            </w:r>
            <w:r w:rsidRPr="0015701F">
              <w:rPr>
                <w:lang w:val="uk-UA"/>
              </w:rPr>
              <w:t xml:space="preserve"> рік</w:t>
            </w:r>
          </w:p>
          <w:p w:rsidR="00234E9A" w:rsidRPr="009A6B38" w:rsidRDefault="00234E9A" w:rsidP="008B346F">
            <w:pPr>
              <w:ind w:firstLine="708"/>
              <w:rPr>
                <w:color w:val="FF0000"/>
                <w:lang w:eastAsia="en-US"/>
              </w:rPr>
            </w:pP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Усього активів</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38325</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28413</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12102</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Основні засоби (за залишковою вартістю)</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sidRPr="00C50A29">
              <w:rPr>
                <w:lang w:val="ru-RU" w:eastAsia="en-US"/>
              </w:rPr>
              <w:t>26865</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17339</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11269</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Запаси</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Сумарна дебіторська заборгованість</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874</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561</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825</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Гроші та їх еквіваленти</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80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5</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Нерозподілений прибуток (непокритий збиток)</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(21308)</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(31331)</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(44857)</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Власний капітал</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35077</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25054</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6789</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Зареєстрований (статутний) капітал</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1442</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1442</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1442</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lastRenderedPageBreak/>
              <w:t>Довгострокові зобов'язання і забезпечення</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1490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Поточні зобов'язання і забезпечення</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1758</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3359</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5313</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Чистий фінансовий результат: прибуток (збиток)</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sidRPr="00C50A29">
              <w:rPr>
                <w:lang w:val="ru-RU" w:eastAsia="en-US"/>
              </w:rPr>
              <w:t>(15587)</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(10023)</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(13526)</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Середньорічна кількість акцій (шт.)</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5766560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5766560</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5766560</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Чистий прибуток (збиток) на одну просту акцію (грн.)</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(2,70300)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(1,73812)</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(2,34559)</w:t>
            </w:r>
          </w:p>
        </w:tc>
      </w:tr>
    </w:tbl>
    <w:p w:rsidR="00CA10E1" w:rsidRPr="00D53DC2" w:rsidRDefault="00CA10E1" w:rsidP="00CA10E1">
      <w:pPr>
        <w:rPr>
          <w:color w:val="FF0000"/>
        </w:rPr>
      </w:pPr>
    </w:p>
    <w:p w:rsidR="00CA10E1" w:rsidRPr="00234E9A" w:rsidRDefault="00CA10E1" w:rsidP="00CA10E1">
      <w:pPr>
        <w:jc w:val="both"/>
      </w:pPr>
      <w:r w:rsidRPr="00234E9A">
        <w:rPr>
          <w:sz w:val="20"/>
          <w:szCs w:val="20"/>
        </w:rPr>
        <w:t xml:space="preserve">* Попередні данні, які можуть бути скориговані з урахуванням висновків зовнішнього аудитора. Остаточна інформація, підтверджена аудиторським висновком, буде надана на дистанційних </w:t>
      </w:r>
      <w:r w:rsidR="004F1F4D">
        <w:rPr>
          <w:sz w:val="20"/>
          <w:szCs w:val="20"/>
        </w:rPr>
        <w:t>позачергових</w:t>
      </w:r>
      <w:r w:rsidRPr="00234E9A">
        <w:rPr>
          <w:sz w:val="20"/>
          <w:szCs w:val="20"/>
        </w:rPr>
        <w:t xml:space="preserve"> Загальних зборах Товариства.</w:t>
      </w:r>
    </w:p>
    <w:p w:rsidR="00CA10E1" w:rsidRPr="00CA10E1" w:rsidRDefault="00CA10E1" w:rsidP="00CA10E1"/>
    <w:p w:rsidR="00CA10E1" w:rsidRPr="00CA10E1" w:rsidRDefault="00CA10E1" w:rsidP="00CA10E1"/>
    <w:p w:rsidR="00CA10E1" w:rsidRPr="00CA10E1" w:rsidRDefault="00CA10E1" w:rsidP="00CA10E1">
      <w:pPr>
        <w:ind w:firstLine="708"/>
        <w:jc w:val="both"/>
      </w:pPr>
    </w:p>
    <w:p w:rsidR="00CA10E1" w:rsidRPr="00CA10E1" w:rsidRDefault="00CA10E1" w:rsidP="00CA10E1">
      <w:pPr>
        <w:ind w:firstLine="708"/>
        <w:jc w:val="both"/>
        <w:rPr>
          <w:color w:val="000000"/>
          <w:lang w:eastAsia="uk-UA"/>
        </w:rPr>
      </w:pPr>
    </w:p>
    <w:p w:rsidR="00DA3985" w:rsidRPr="00CA10E1" w:rsidRDefault="00DA3985" w:rsidP="00571BE1">
      <w:pPr>
        <w:ind w:firstLine="708"/>
        <w:jc w:val="both"/>
      </w:pPr>
    </w:p>
    <w:sectPr w:rsidR="00DA3985" w:rsidRPr="00CA10E1" w:rsidSect="00274F95">
      <w:headerReference w:type="even" r:id="rId11"/>
      <w:headerReference w:type="default" r:id="rId12"/>
      <w:pgSz w:w="11906" w:h="16838" w:code="9"/>
      <w:pgMar w:top="720" w:right="709"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B7" w:rsidRDefault="00D513B7">
      <w:r>
        <w:separator/>
      </w:r>
    </w:p>
  </w:endnote>
  <w:endnote w:type="continuationSeparator" w:id="0">
    <w:p w:rsidR="00D513B7" w:rsidRDefault="00D5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Roman">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B7" w:rsidRDefault="00D513B7">
      <w:r>
        <w:separator/>
      </w:r>
    </w:p>
  </w:footnote>
  <w:footnote w:type="continuationSeparator" w:id="0">
    <w:p w:rsidR="00D513B7" w:rsidRDefault="00D5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08" w:rsidRDefault="00F22EEC" w:rsidP="008A3FBB">
    <w:pPr>
      <w:pStyle w:val="a8"/>
      <w:framePr w:wrap="around" w:vAnchor="text" w:hAnchor="margin" w:xAlign="center" w:y="1"/>
      <w:rPr>
        <w:rStyle w:val="a9"/>
      </w:rPr>
    </w:pPr>
    <w:r>
      <w:rPr>
        <w:rStyle w:val="a9"/>
      </w:rPr>
      <w:fldChar w:fldCharType="begin"/>
    </w:r>
    <w:r w:rsidR="00BD4808">
      <w:rPr>
        <w:rStyle w:val="a9"/>
      </w:rPr>
      <w:instrText xml:space="preserve">PAGE  </w:instrText>
    </w:r>
    <w:r>
      <w:rPr>
        <w:rStyle w:val="a9"/>
      </w:rPr>
      <w:fldChar w:fldCharType="end"/>
    </w:r>
  </w:p>
  <w:p w:rsidR="00BD4808" w:rsidRDefault="00BD48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08" w:rsidRDefault="00F22EEC" w:rsidP="008A3FBB">
    <w:pPr>
      <w:pStyle w:val="a8"/>
      <w:framePr w:wrap="around" w:vAnchor="text" w:hAnchor="margin" w:xAlign="center" w:y="1"/>
      <w:rPr>
        <w:rStyle w:val="a9"/>
      </w:rPr>
    </w:pPr>
    <w:r>
      <w:rPr>
        <w:rStyle w:val="a9"/>
      </w:rPr>
      <w:fldChar w:fldCharType="begin"/>
    </w:r>
    <w:r w:rsidR="00BD4808">
      <w:rPr>
        <w:rStyle w:val="a9"/>
      </w:rPr>
      <w:instrText xml:space="preserve">PAGE  </w:instrText>
    </w:r>
    <w:r>
      <w:rPr>
        <w:rStyle w:val="a9"/>
      </w:rPr>
      <w:fldChar w:fldCharType="separate"/>
    </w:r>
    <w:r w:rsidR="002F1EF1">
      <w:rPr>
        <w:rStyle w:val="a9"/>
        <w:noProof/>
      </w:rPr>
      <w:t>9</w:t>
    </w:r>
    <w:r>
      <w:rPr>
        <w:rStyle w:val="a9"/>
      </w:rPr>
      <w:fldChar w:fldCharType="end"/>
    </w:r>
  </w:p>
  <w:p w:rsidR="00BD4808" w:rsidRDefault="00BD48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3E4"/>
    <w:multiLevelType w:val="hybridMultilevel"/>
    <w:tmpl w:val="9E165C80"/>
    <w:lvl w:ilvl="0" w:tplc="C8FCE2F0">
      <w:start w:val="1"/>
      <w:numFmt w:val="decimal"/>
      <w:lvlText w:val="%1."/>
      <w:lvlJc w:val="left"/>
      <w:pPr>
        <w:tabs>
          <w:tab w:val="num" w:pos="1080"/>
        </w:tabs>
        <w:ind w:left="1080" w:hanging="360"/>
      </w:pPr>
      <w:rPr>
        <w:rFonts w:ascii="Times New Roman" w:eastAsia="Times-Roman" w:hAnsi="Times New Roman" w:hint="default"/>
        <w:b w:val="0"/>
        <w:i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AF4D77"/>
    <w:multiLevelType w:val="hybridMultilevel"/>
    <w:tmpl w:val="21FE506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1E820F33"/>
    <w:multiLevelType w:val="hybridMultilevel"/>
    <w:tmpl w:val="6BD66010"/>
    <w:lvl w:ilvl="0" w:tplc="A3F0A7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C977FD"/>
    <w:multiLevelType w:val="hybridMultilevel"/>
    <w:tmpl w:val="799261D0"/>
    <w:lvl w:ilvl="0" w:tplc="CF3CACEA">
      <w:start w:val="1"/>
      <w:numFmt w:val="decimal"/>
      <w:lvlText w:val="%1."/>
      <w:lvlJc w:val="left"/>
      <w:pPr>
        <w:tabs>
          <w:tab w:val="num" w:pos="720"/>
        </w:tabs>
        <w:ind w:left="720" w:hanging="360"/>
      </w:pPr>
      <w:rPr>
        <w:rFonts w:ascii="Times New Roman" w:hAnsi="Times New Roman" w:cs="Times New Roman" w:hint="default"/>
      </w:rPr>
    </w:lvl>
    <w:lvl w:ilvl="1" w:tplc="E9B0A73E">
      <w:start w:val="8"/>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FB3DF2"/>
    <w:multiLevelType w:val="hybridMultilevel"/>
    <w:tmpl w:val="E63C15CC"/>
    <w:lvl w:ilvl="0" w:tplc="1A1C138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5306A4A"/>
    <w:multiLevelType w:val="hybridMultilevel"/>
    <w:tmpl w:val="D7100BEC"/>
    <w:lvl w:ilvl="0" w:tplc="C3FE8736">
      <w:start w:val="1"/>
      <w:numFmt w:val="decimal"/>
      <w:lvlText w:val="%1."/>
      <w:lvlJc w:val="left"/>
      <w:pPr>
        <w:ind w:left="753" w:hanging="43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9876401"/>
    <w:multiLevelType w:val="hybridMultilevel"/>
    <w:tmpl w:val="0666D05A"/>
    <w:lvl w:ilvl="0" w:tplc="D630A0A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3C8E64E0"/>
    <w:multiLevelType w:val="hybridMultilevel"/>
    <w:tmpl w:val="43209664"/>
    <w:lvl w:ilvl="0" w:tplc="EDC08DDA">
      <w:start w:val="1"/>
      <w:numFmt w:val="decimal"/>
      <w:lvlText w:val="%1."/>
      <w:lvlJc w:val="left"/>
      <w:pPr>
        <w:tabs>
          <w:tab w:val="num" w:pos="1800"/>
        </w:tabs>
        <w:ind w:left="1800" w:hanging="360"/>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3FAF5EF7"/>
    <w:multiLevelType w:val="hybridMultilevel"/>
    <w:tmpl w:val="7A601C30"/>
    <w:lvl w:ilvl="0" w:tplc="B5DA1204">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46A68D6"/>
    <w:multiLevelType w:val="hybridMultilevel"/>
    <w:tmpl w:val="4C780FF4"/>
    <w:lvl w:ilvl="0" w:tplc="0419000F">
      <w:start w:val="9"/>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327781"/>
    <w:multiLevelType w:val="hybridMultilevel"/>
    <w:tmpl w:val="802ED146"/>
    <w:lvl w:ilvl="0" w:tplc="63C2739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046586C"/>
    <w:multiLevelType w:val="hybridMultilevel"/>
    <w:tmpl w:val="15EECED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573F5DFC"/>
    <w:multiLevelType w:val="hybridMultilevel"/>
    <w:tmpl w:val="8206924E"/>
    <w:lvl w:ilvl="0" w:tplc="893652A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B3325C"/>
    <w:multiLevelType w:val="hybridMultilevel"/>
    <w:tmpl w:val="8A58E51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E5AA5"/>
    <w:multiLevelType w:val="hybridMultilevel"/>
    <w:tmpl w:val="CF0443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6A1FF0"/>
    <w:multiLevelType w:val="hybridMultilevel"/>
    <w:tmpl w:val="05865982"/>
    <w:lvl w:ilvl="0" w:tplc="958ECE68">
      <w:start w:val="10"/>
      <w:numFmt w:val="bullet"/>
      <w:lvlText w:val="-"/>
      <w:lvlJc w:val="left"/>
      <w:pPr>
        <w:tabs>
          <w:tab w:val="num" w:pos="1071"/>
        </w:tabs>
        <w:ind w:left="1071" w:hanging="360"/>
      </w:pPr>
      <w:rPr>
        <w:rFonts w:ascii="Times New Roman" w:eastAsia="Times New Roman" w:hAnsi="Times New Roman" w:cs="Times New Roman"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6">
    <w:nsid w:val="6B4632E3"/>
    <w:multiLevelType w:val="hybridMultilevel"/>
    <w:tmpl w:val="F0DA67A2"/>
    <w:lvl w:ilvl="0" w:tplc="334C4C62">
      <w:start w:val="1"/>
      <w:numFmt w:val="decimal"/>
      <w:lvlText w:val="%1."/>
      <w:lvlJc w:val="left"/>
      <w:pPr>
        <w:tabs>
          <w:tab w:val="num" w:pos="948"/>
        </w:tabs>
        <w:ind w:left="948" w:hanging="588"/>
      </w:pPr>
      <w:rPr>
        <w:rFonts w:hint="default"/>
        <w:color w:val="auto"/>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7">
    <w:nsid w:val="6E0337B4"/>
    <w:multiLevelType w:val="hybridMultilevel"/>
    <w:tmpl w:val="2DBAC7E2"/>
    <w:lvl w:ilvl="0" w:tplc="0419000F">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7A72289"/>
    <w:multiLevelType w:val="hybridMultilevel"/>
    <w:tmpl w:val="53929DAA"/>
    <w:lvl w:ilvl="0" w:tplc="32288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9"/>
  </w:num>
  <w:num w:numId="5">
    <w:abstractNumId w:val="3"/>
  </w:num>
  <w:num w:numId="6">
    <w:abstractNumId w:val="12"/>
  </w:num>
  <w:num w:numId="7">
    <w:abstractNumId w:val="10"/>
  </w:num>
  <w:num w:numId="8">
    <w:abstractNumId w:val="0"/>
  </w:num>
  <w:num w:numId="9">
    <w:abstractNumId w:val="17"/>
  </w:num>
  <w:num w:numId="10">
    <w:abstractNumId w:val="8"/>
  </w:num>
  <w:num w:numId="11">
    <w:abstractNumId w:val="4"/>
  </w:num>
  <w:num w:numId="12">
    <w:abstractNumId w:val="13"/>
  </w:num>
  <w:num w:numId="13">
    <w:abstractNumId w:val="15"/>
  </w:num>
  <w:num w:numId="14">
    <w:abstractNumId w:val="2"/>
  </w:num>
  <w:num w:numId="15">
    <w:abstractNumId w:val="7"/>
  </w:num>
  <w:num w:numId="16">
    <w:abstractNumId w:val="18"/>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47"/>
    <w:rsid w:val="00001248"/>
    <w:rsid w:val="000046FD"/>
    <w:rsid w:val="000257FC"/>
    <w:rsid w:val="0002702E"/>
    <w:rsid w:val="00030087"/>
    <w:rsid w:val="00032943"/>
    <w:rsid w:val="00034588"/>
    <w:rsid w:val="0003661B"/>
    <w:rsid w:val="00042433"/>
    <w:rsid w:val="00054B3E"/>
    <w:rsid w:val="00055939"/>
    <w:rsid w:val="000847BF"/>
    <w:rsid w:val="00096259"/>
    <w:rsid w:val="00096473"/>
    <w:rsid w:val="000A4A21"/>
    <w:rsid w:val="000A5DE7"/>
    <w:rsid w:val="000B1572"/>
    <w:rsid w:val="000B5022"/>
    <w:rsid w:val="000B569E"/>
    <w:rsid w:val="000F2563"/>
    <w:rsid w:val="000F279E"/>
    <w:rsid w:val="0010275F"/>
    <w:rsid w:val="00112307"/>
    <w:rsid w:val="00112E66"/>
    <w:rsid w:val="00114500"/>
    <w:rsid w:val="0012626B"/>
    <w:rsid w:val="0012670D"/>
    <w:rsid w:val="00137C20"/>
    <w:rsid w:val="001436F0"/>
    <w:rsid w:val="00143E50"/>
    <w:rsid w:val="001611B6"/>
    <w:rsid w:val="00161B26"/>
    <w:rsid w:val="00165002"/>
    <w:rsid w:val="00166626"/>
    <w:rsid w:val="00176433"/>
    <w:rsid w:val="001867D3"/>
    <w:rsid w:val="00192923"/>
    <w:rsid w:val="001974C6"/>
    <w:rsid w:val="001A1FE0"/>
    <w:rsid w:val="001A311A"/>
    <w:rsid w:val="001B1E51"/>
    <w:rsid w:val="001D2102"/>
    <w:rsid w:val="001E015B"/>
    <w:rsid w:val="001F1005"/>
    <w:rsid w:val="00216357"/>
    <w:rsid w:val="00221BB2"/>
    <w:rsid w:val="00226CEA"/>
    <w:rsid w:val="002274AF"/>
    <w:rsid w:val="00234E9A"/>
    <w:rsid w:val="002359BE"/>
    <w:rsid w:val="002401D9"/>
    <w:rsid w:val="002428E9"/>
    <w:rsid w:val="00245C9F"/>
    <w:rsid w:val="002528E3"/>
    <w:rsid w:val="00254535"/>
    <w:rsid w:val="0027148D"/>
    <w:rsid w:val="00274F95"/>
    <w:rsid w:val="002763E0"/>
    <w:rsid w:val="00277ED8"/>
    <w:rsid w:val="002820AC"/>
    <w:rsid w:val="002851F9"/>
    <w:rsid w:val="00285770"/>
    <w:rsid w:val="00292C66"/>
    <w:rsid w:val="002963D6"/>
    <w:rsid w:val="002A0333"/>
    <w:rsid w:val="002A231C"/>
    <w:rsid w:val="002A233E"/>
    <w:rsid w:val="002A5E1B"/>
    <w:rsid w:val="002C0BDA"/>
    <w:rsid w:val="002D35E7"/>
    <w:rsid w:val="002D5F1B"/>
    <w:rsid w:val="002F1EF1"/>
    <w:rsid w:val="002F3B73"/>
    <w:rsid w:val="00303A9E"/>
    <w:rsid w:val="00312C0B"/>
    <w:rsid w:val="003215E5"/>
    <w:rsid w:val="00334FAE"/>
    <w:rsid w:val="00337B0D"/>
    <w:rsid w:val="00350091"/>
    <w:rsid w:val="00353730"/>
    <w:rsid w:val="00363EA3"/>
    <w:rsid w:val="00364613"/>
    <w:rsid w:val="00376BBA"/>
    <w:rsid w:val="003815F2"/>
    <w:rsid w:val="00387C68"/>
    <w:rsid w:val="00387F4B"/>
    <w:rsid w:val="003A372E"/>
    <w:rsid w:val="003A4F74"/>
    <w:rsid w:val="003A6B91"/>
    <w:rsid w:val="003A6BDC"/>
    <w:rsid w:val="003B46C6"/>
    <w:rsid w:val="003B5932"/>
    <w:rsid w:val="003B64C3"/>
    <w:rsid w:val="003B6B7A"/>
    <w:rsid w:val="003C54B5"/>
    <w:rsid w:val="003D6F97"/>
    <w:rsid w:val="003F2E06"/>
    <w:rsid w:val="003F5C3E"/>
    <w:rsid w:val="003F6100"/>
    <w:rsid w:val="00401D82"/>
    <w:rsid w:val="0040569B"/>
    <w:rsid w:val="004300CC"/>
    <w:rsid w:val="004334D5"/>
    <w:rsid w:val="00440263"/>
    <w:rsid w:val="00445A9B"/>
    <w:rsid w:val="004470FF"/>
    <w:rsid w:val="004553E3"/>
    <w:rsid w:val="004564EA"/>
    <w:rsid w:val="00461D90"/>
    <w:rsid w:val="00462EA5"/>
    <w:rsid w:val="0046368A"/>
    <w:rsid w:val="00466FD7"/>
    <w:rsid w:val="00494548"/>
    <w:rsid w:val="00494B67"/>
    <w:rsid w:val="004962F5"/>
    <w:rsid w:val="004A0426"/>
    <w:rsid w:val="004C059F"/>
    <w:rsid w:val="004C31CC"/>
    <w:rsid w:val="004D74A8"/>
    <w:rsid w:val="004E257E"/>
    <w:rsid w:val="004F0490"/>
    <w:rsid w:val="004F094A"/>
    <w:rsid w:val="004F1F4D"/>
    <w:rsid w:val="004F4D33"/>
    <w:rsid w:val="004F7EBC"/>
    <w:rsid w:val="00501BD0"/>
    <w:rsid w:val="00504928"/>
    <w:rsid w:val="00507BBC"/>
    <w:rsid w:val="00513269"/>
    <w:rsid w:val="00566B10"/>
    <w:rsid w:val="00571BE1"/>
    <w:rsid w:val="0057513B"/>
    <w:rsid w:val="0057788F"/>
    <w:rsid w:val="00586506"/>
    <w:rsid w:val="00592089"/>
    <w:rsid w:val="0059397F"/>
    <w:rsid w:val="005A3E4B"/>
    <w:rsid w:val="005B3E66"/>
    <w:rsid w:val="005B5D48"/>
    <w:rsid w:val="005C2711"/>
    <w:rsid w:val="005C712B"/>
    <w:rsid w:val="005C71FA"/>
    <w:rsid w:val="005C7298"/>
    <w:rsid w:val="005D1753"/>
    <w:rsid w:val="005D69DF"/>
    <w:rsid w:val="005D70E9"/>
    <w:rsid w:val="005E556F"/>
    <w:rsid w:val="005E5BC0"/>
    <w:rsid w:val="005E7B00"/>
    <w:rsid w:val="005F4DF6"/>
    <w:rsid w:val="005F7EFE"/>
    <w:rsid w:val="00601F20"/>
    <w:rsid w:val="00603D83"/>
    <w:rsid w:val="0061766F"/>
    <w:rsid w:val="00617E12"/>
    <w:rsid w:val="00621635"/>
    <w:rsid w:val="00636C8A"/>
    <w:rsid w:val="0063707D"/>
    <w:rsid w:val="006404A0"/>
    <w:rsid w:val="00643608"/>
    <w:rsid w:val="006565AD"/>
    <w:rsid w:val="00661243"/>
    <w:rsid w:val="0066499E"/>
    <w:rsid w:val="00674596"/>
    <w:rsid w:val="0068101A"/>
    <w:rsid w:val="00685654"/>
    <w:rsid w:val="00697900"/>
    <w:rsid w:val="006B5535"/>
    <w:rsid w:val="006E29CE"/>
    <w:rsid w:val="006E3342"/>
    <w:rsid w:val="006F3491"/>
    <w:rsid w:val="00706D27"/>
    <w:rsid w:val="00710180"/>
    <w:rsid w:val="00722C94"/>
    <w:rsid w:val="0072505B"/>
    <w:rsid w:val="007277FB"/>
    <w:rsid w:val="00732F45"/>
    <w:rsid w:val="00741A95"/>
    <w:rsid w:val="007521E4"/>
    <w:rsid w:val="00760870"/>
    <w:rsid w:val="00762DEF"/>
    <w:rsid w:val="00765304"/>
    <w:rsid w:val="007B47DA"/>
    <w:rsid w:val="007B72C8"/>
    <w:rsid w:val="007C7E22"/>
    <w:rsid w:val="007D113B"/>
    <w:rsid w:val="007D31A9"/>
    <w:rsid w:val="007D771C"/>
    <w:rsid w:val="007E79A1"/>
    <w:rsid w:val="007F6D63"/>
    <w:rsid w:val="008072C0"/>
    <w:rsid w:val="00811B2B"/>
    <w:rsid w:val="00813F7E"/>
    <w:rsid w:val="00814F24"/>
    <w:rsid w:val="008255CE"/>
    <w:rsid w:val="00830404"/>
    <w:rsid w:val="008318CC"/>
    <w:rsid w:val="00843429"/>
    <w:rsid w:val="0085113C"/>
    <w:rsid w:val="0085176E"/>
    <w:rsid w:val="00855B1A"/>
    <w:rsid w:val="00862AB1"/>
    <w:rsid w:val="0087285E"/>
    <w:rsid w:val="008862A9"/>
    <w:rsid w:val="00891BD7"/>
    <w:rsid w:val="00893040"/>
    <w:rsid w:val="0089398D"/>
    <w:rsid w:val="008A0C08"/>
    <w:rsid w:val="008A193E"/>
    <w:rsid w:val="008A1B7B"/>
    <w:rsid w:val="008A3FBB"/>
    <w:rsid w:val="008B2A9F"/>
    <w:rsid w:val="008C03A4"/>
    <w:rsid w:val="008C2E3F"/>
    <w:rsid w:val="008D2238"/>
    <w:rsid w:val="008D5028"/>
    <w:rsid w:val="008E0337"/>
    <w:rsid w:val="008E1FCB"/>
    <w:rsid w:val="008E4C0E"/>
    <w:rsid w:val="008E509B"/>
    <w:rsid w:val="008F1A8D"/>
    <w:rsid w:val="008F56E7"/>
    <w:rsid w:val="008F5BE0"/>
    <w:rsid w:val="008F774A"/>
    <w:rsid w:val="00900AEC"/>
    <w:rsid w:val="00902C9E"/>
    <w:rsid w:val="009565A5"/>
    <w:rsid w:val="00987494"/>
    <w:rsid w:val="009909F0"/>
    <w:rsid w:val="009945CD"/>
    <w:rsid w:val="00997C4E"/>
    <w:rsid w:val="009A33DD"/>
    <w:rsid w:val="009A59F7"/>
    <w:rsid w:val="009B4B8E"/>
    <w:rsid w:val="009C37B0"/>
    <w:rsid w:val="009C3CAC"/>
    <w:rsid w:val="009D27E1"/>
    <w:rsid w:val="009D4F36"/>
    <w:rsid w:val="009E2126"/>
    <w:rsid w:val="009E3148"/>
    <w:rsid w:val="009E3162"/>
    <w:rsid w:val="009E33E1"/>
    <w:rsid w:val="009F27B6"/>
    <w:rsid w:val="009F3446"/>
    <w:rsid w:val="009F3A7F"/>
    <w:rsid w:val="009F7B75"/>
    <w:rsid w:val="00A056F5"/>
    <w:rsid w:val="00A0660F"/>
    <w:rsid w:val="00A06C5B"/>
    <w:rsid w:val="00A2261D"/>
    <w:rsid w:val="00A34896"/>
    <w:rsid w:val="00A607DE"/>
    <w:rsid w:val="00A62E2C"/>
    <w:rsid w:val="00A77B1D"/>
    <w:rsid w:val="00A936E7"/>
    <w:rsid w:val="00A96458"/>
    <w:rsid w:val="00AA515A"/>
    <w:rsid w:val="00AA631C"/>
    <w:rsid w:val="00AB005B"/>
    <w:rsid w:val="00AB7FA6"/>
    <w:rsid w:val="00AC3565"/>
    <w:rsid w:val="00AC63B3"/>
    <w:rsid w:val="00AD5588"/>
    <w:rsid w:val="00AE1B10"/>
    <w:rsid w:val="00AE1F20"/>
    <w:rsid w:val="00AE4DE3"/>
    <w:rsid w:val="00AE7529"/>
    <w:rsid w:val="00AE7873"/>
    <w:rsid w:val="00AF6EA2"/>
    <w:rsid w:val="00AF7C5E"/>
    <w:rsid w:val="00B10592"/>
    <w:rsid w:val="00B11FC4"/>
    <w:rsid w:val="00B2505C"/>
    <w:rsid w:val="00B40538"/>
    <w:rsid w:val="00B4798E"/>
    <w:rsid w:val="00B52ADA"/>
    <w:rsid w:val="00B55EBA"/>
    <w:rsid w:val="00B65E17"/>
    <w:rsid w:val="00B66BC5"/>
    <w:rsid w:val="00B71AB1"/>
    <w:rsid w:val="00B75447"/>
    <w:rsid w:val="00B77C7C"/>
    <w:rsid w:val="00B805D3"/>
    <w:rsid w:val="00B869E9"/>
    <w:rsid w:val="00BA2250"/>
    <w:rsid w:val="00BA64C9"/>
    <w:rsid w:val="00BB536C"/>
    <w:rsid w:val="00BC3FB3"/>
    <w:rsid w:val="00BC5DBD"/>
    <w:rsid w:val="00BD4808"/>
    <w:rsid w:val="00BE75B6"/>
    <w:rsid w:val="00BF1A82"/>
    <w:rsid w:val="00BF4C26"/>
    <w:rsid w:val="00BF4DD9"/>
    <w:rsid w:val="00C035B8"/>
    <w:rsid w:val="00C03E94"/>
    <w:rsid w:val="00C1214F"/>
    <w:rsid w:val="00C12E9E"/>
    <w:rsid w:val="00C30871"/>
    <w:rsid w:val="00C30FEB"/>
    <w:rsid w:val="00C3148A"/>
    <w:rsid w:val="00C40F5E"/>
    <w:rsid w:val="00C45849"/>
    <w:rsid w:val="00C45FF8"/>
    <w:rsid w:val="00C50A29"/>
    <w:rsid w:val="00C51B76"/>
    <w:rsid w:val="00C562E6"/>
    <w:rsid w:val="00C60C74"/>
    <w:rsid w:val="00C85523"/>
    <w:rsid w:val="00C85EAB"/>
    <w:rsid w:val="00C87CF6"/>
    <w:rsid w:val="00C93803"/>
    <w:rsid w:val="00C95525"/>
    <w:rsid w:val="00CA10E1"/>
    <w:rsid w:val="00CB6240"/>
    <w:rsid w:val="00CB69F8"/>
    <w:rsid w:val="00CD4863"/>
    <w:rsid w:val="00CD5220"/>
    <w:rsid w:val="00CD7D0D"/>
    <w:rsid w:val="00CE25EA"/>
    <w:rsid w:val="00CF0DD1"/>
    <w:rsid w:val="00CF28DD"/>
    <w:rsid w:val="00D057AC"/>
    <w:rsid w:val="00D232F6"/>
    <w:rsid w:val="00D3452A"/>
    <w:rsid w:val="00D34C9B"/>
    <w:rsid w:val="00D37639"/>
    <w:rsid w:val="00D434F5"/>
    <w:rsid w:val="00D513B7"/>
    <w:rsid w:val="00D53DC2"/>
    <w:rsid w:val="00D62B24"/>
    <w:rsid w:val="00D62FC3"/>
    <w:rsid w:val="00D6408F"/>
    <w:rsid w:val="00D853E6"/>
    <w:rsid w:val="00D92F96"/>
    <w:rsid w:val="00D95F8C"/>
    <w:rsid w:val="00D9622D"/>
    <w:rsid w:val="00DA3985"/>
    <w:rsid w:val="00DA4B92"/>
    <w:rsid w:val="00DB28BF"/>
    <w:rsid w:val="00DE05B6"/>
    <w:rsid w:val="00DE5386"/>
    <w:rsid w:val="00DE5BB7"/>
    <w:rsid w:val="00DF31CD"/>
    <w:rsid w:val="00E0235F"/>
    <w:rsid w:val="00E0645A"/>
    <w:rsid w:val="00E13015"/>
    <w:rsid w:val="00E15DF7"/>
    <w:rsid w:val="00E20264"/>
    <w:rsid w:val="00E308A8"/>
    <w:rsid w:val="00E32DFF"/>
    <w:rsid w:val="00E33D1D"/>
    <w:rsid w:val="00E34E40"/>
    <w:rsid w:val="00E35F73"/>
    <w:rsid w:val="00E43FFE"/>
    <w:rsid w:val="00E5030E"/>
    <w:rsid w:val="00E52C04"/>
    <w:rsid w:val="00E62111"/>
    <w:rsid w:val="00E747CF"/>
    <w:rsid w:val="00E7656B"/>
    <w:rsid w:val="00E9006C"/>
    <w:rsid w:val="00E95168"/>
    <w:rsid w:val="00E96E80"/>
    <w:rsid w:val="00EA5EC1"/>
    <w:rsid w:val="00EA7B53"/>
    <w:rsid w:val="00EB0824"/>
    <w:rsid w:val="00EB0B72"/>
    <w:rsid w:val="00EC3F84"/>
    <w:rsid w:val="00EC7F49"/>
    <w:rsid w:val="00EE13E5"/>
    <w:rsid w:val="00EE3C47"/>
    <w:rsid w:val="00EF4A20"/>
    <w:rsid w:val="00F029CF"/>
    <w:rsid w:val="00F040D3"/>
    <w:rsid w:val="00F07379"/>
    <w:rsid w:val="00F0756B"/>
    <w:rsid w:val="00F07CBC"/>
    <w:rsid w:val="00F1228E"/>
    <w:rsid w:val="00F12F2A"/>
    <w:rsid w:val="00F156C1"/>
    <w:rsid w:val="00F22EEC"/>
    <w:rsid w:val="00F23C3A"/>
    <w:rsid w:val="00F31C2D"/>
    <w:rsid w:val="00F331E8"/>
    <w:rsid w:val="00F42D97"/>
    <w:rsid w:val="00F45E2A"/>
    <w:rsid w:val="00F613EE"/>
    <w:rsid w:val="00F83FA8"/>
    <w:rsid w:val="00F9336D"/>
    <w:rsid w:val="00F940F2"/>
    <w:rsid w:val="00F97D3B"/>
    <w:rsid w:val="00FA23E8"/>
    <w:rsid w:val="00FC247F"/>
    <w:rsid w:val="00FD1F52"/>
    <w:rsid w:val="00FD3B36"/>
    <w:rsid w:val="00FD7DB4"/>
    <w:rsid w:val="00FE0C38"/>
    <w:rsid w:val="00FF44F4"/>
    <w:rsid w:val="00FF4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33764-7776-4269-A28B-F55CFD3B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4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3C47"/>
    <w:pPr>
      <w:spacing w:before="100" w:beforeAutospacing="1" w:after="100" w:afterAutospacing="1"/>
    </w:pPr>
    <w:rPr>
      <w:lang w:val="en-US" w:eastAsia="en-US"/>
    </w:rPr>
  </w:style>
  <w:style w:type="paragraph" w:customStyle="1" w:styleId="nospacing">
    <w:name w:val="nospacing"/>
    <w:basedOn w:val="a"/>
    <w:rsid w:val="00EE3C47"/>
    <w:pPr>
      <w:spacing w:before="100" w:beforeAutospacing="1" w:after="100" w:afterAutospacing="1"/>
    </w:pPr>
  </w:style>
  <w:style w:type="character" w:customStyle="1" w:styleId="fontstyle17">
    <w:name w:val="fontstyle17"/>
    <w:basedOn w:val="a0"/>
    <w:rsid w:val="00EE3C47"/>
  </w:style>
  <w:style w:type="paragraph" w:customStyle="1" w:styleId="1">
    <w:name w:val="Без интервала1"/>
    <w:rsid w:val="007E79A1"/>
    <w:rPr>
      <w:rFonts w:ascii="Calibri" w:hAnsi="Calibri"/>
      <w:sz w:val="22"/>
      <w:szCs w:val="22"/>
      <w:lang w:val="uk-UA" w:eastAsia="uk-UA"/>
    </w:rPr>
  </w:style>
  <w:style w:type="paragraph" w:customStyle="1" w:styleId="10">
    <w:name w:val="Абзац списка1"/>
    <w:basedOn w:val="a"/>
    <w:rsid w:val="007E79A1"/>
    <w:pPr>
      <w:spacing w:after="200" w:line="276" w:lineRule="auto"/>
      <w:ind w:left="720"/>
      <w:contextualSpacing/>
    </w:pPr>
    <w:rPr>
      <w:rFonts w:ascii="Calibri" w:hAnsi="Calibri"/>
      <w:sz w:val="22"/>
      <w:szCs w:val="22"/>
      <w:lang w:eastAsia="en-US"/>
    </w:rPr>
  </w:style>
  <w:style w:type="paragraph" w:styleId="a4">
    <w:name w:val="Balloon Text"/>
    <w:basedOn w:val="a"/>
    <w:link w:val="a5"/>
    <w:rsid w:val="00E34E40"/>
    <w:rPr>
      <w:rFonts w:ascii="Tahoma" w:hAnsi="Tahoma" w:cs="Tahoma"/>
      <w:sz w:val="16"/>
      <w:szCs w:val="16"/>
    </w:rPr>
  </w:style>
  <w:style w:type="character" w:customStyle="1" w:styleId="a5">
    <w:name w:val="Текст выноски Знак"/>
    <w:link w:val="a4"/>
    <w:rsid w:val="00E34E40"/>
    <w:rPr>
      <w:rFonts w:ascii="Tahoma" w:hAnsi="Tahoma" w:cs="Tahoma"/>
      <w:sz w:val="16"/>
      <w:szCs w:val="16"/>
    </w:rPr>
  </w:style>
  <w:style w:type="paragraph" w:styleId="HTML">
    <w:name w:val="HTML Preformatted"/>
    <w:basedOn w:val="a"/>
    <w:link w:val="HTML0"/>
    <w:unhideWhenUsed/>
    <w:rsid w:val="00E6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62111"/>
    <w:rPr>
      <w:rFonts w:ascii="Courier New" w:hAnsi="Courier New" w:cs="Courier New"/>
      <w:lang w:val="ru-RU" w:eastAsia="ru-RU" w:bidi="ar-SA"/>
    </w:rPr>
  </w:style>
  <w:style w:type="paragraph" w:styleId="a6">
    <w:name w:val="Body Text Indent"/>
    <w:basedOn w:val="a"/>
    <w:rsid w:val="00E62111"/>
    <w:pPr>
      <w:ind w:firstLine="900"/>
      <w:jc w:val="both"/>
    </w:pPr>
    <w:rPr>
      <w:rFonts w:ascii="Arial" w:hAnsi="Arial"/>
      <w:szCs w:val="20"/>
    </w:rPr>
  </w:style>
  <w:style w:type="paragraph" w:customStyle="1" w:styleId="11">
    <w:name w:val="Без интервала1"/>
    <w:rsid w:val="002A231C"/>
    <w:rPr>
      <w:rFonts w:ascii="Calibri" w:hAnsi="Calibri"/>
      <w:sz w:val="22"/>
      <w:szCs w:val="22"/>
      <w:lang w:val="uk-UA" w:eastAsia="uk-UA"/>
    </w:rPr>
  </w:style>
  <w:style w:type="character" w:customStyle="1" w:styleId="2">
    <w:name w:val="Знак Знак2"/>
    <w:rsid w:val="00FD3B36"/>
    <w:rPr>
      <w:rFonts w:ascii="Courier New" w:hAnsi="Courier New" w:cs="Courier New"/>
    </w:rPr>
  </w:style>
  <w:style w:type="character" w:styleId="a7">
    <w:name w:val="Hyperlink"/>
    <w:rsid w:val="0061766F"/>
    <w:rPr>
      <w:color w:val="0000FF"/>
      <w:u w:val="single"/>
    </w:rPr>
  </w:style>
  <w:style w:type="character" w:customStyle="1" w:styleId="FontStyle13">
    <w:name w:val="Font Style13"/>
    <w:rsid w:val="00B77C7C"/>
    <w:rPr>
      <w:rFonts w:ascii="Times New Roman" w:hAnsi="Times New Roman" w:cs="Times New Roman"/>
      <w:sz w:val="26"/>
      <w:szCs w:val="26"/>
    </w:rPr>
  </w:style>
  <w:style w:type="paragraph" w:styleId="a8">
    <w:name w:val="header"/>
    <w:basedOn w:val="a"/>
    <w:rsid w:val="009D27E1"/>
    <w:pPr>
      <w:tabs>
        <w:tab w:val="center" w:pos="4677"/>
        <w:tab w:val="right" w:pos="9355"/>
      </w:tabs>
    </w:pPr>
  </w:style>
  <w:style w:type="character" w:styleId="a9">
    <w:name w:val="page number"/>
    <w:basedOn w:val="a0"/>
    <w:rsid w:val="009D27E1"/>
  </w:style>
  <w:style w:type="paragraph" w:customStyle="1" w:styleId="Default">
    <w:name w:val="Default"/>
    <w:rsid w:val="00494548"/>
    <w:pPr>
      <w:autoSpaceDE w:val="0"/>
      <w:autoSpaceDN w:val="0"/>
      <w:adjustRightInd w:val="0"/>
    </w:pPr>
    <w:rPr>
      <w:color w:val="000000"/>
      <w:sz w:val="24"/>
      <w:szCs w:val="24"/>
    </w:rPr>
  </w:style>
  <w:style w:type="character" w:customStyle="1" w:styleId="20">
    <w:name w:val="Основной текст (2)_"/>
    <w:link w:val="21"/>
    <w:rsid w:val="00571BE1"/>
    <w:rPr>
      <w:sz w:val="22"/>
      <w:szCs w:val="22"/>
      <w:lang w:bidi="ar-SA"/>
    </w:rPr>
  </w:style>
  <w:style w:type="paragraph" w:customStyle="1" w:styleId="21">
    <w:name w:val="Основной текст (2)1"/>
    <w:basedOn w:val="a"/>
    <w:link w:val="20"/>
    <w:rsid w:val="00571BE1"/>
    <w:pPr>
      <w:widowControl w:val="0"/>
      <w:shd w:val="clear" w:color="auto" w:fill="FFFFFF"/>
      <w:spacing w:before="180" w:line="269" w:lineRule="exact"/>
      <w:jc w:val="both"/>
    </w:pPr>
    <w:rPr>
      <w:sz w:val="22"/>
      <w:szCs w:val="22"/>
      <w:lang w:val="ru-RU"/>
    </w:rPr>
  </w:style>
  <w:style w:type="character" w:customStyle="1" w:styleId="29pt">
    <w:name w:val="Основной текст (2) + 9 pt"/>
    <w:rsid w:val="00571BE1"/>
    <w:rPr>
      <w:sz w:val="18"/>
      <w:szCs w:val="18"/>
      <w:lang w:bidi="ar-SA"/>
    </w:rPr>
  </w:style>
  <w:style w:type="paragraph" w:customStyle="1" w:styleId="5">
    <w:name w:val="ВНИИАЭН_5_обычный"/>
    <w:rsid w:val="006B5535"/>
    <w:pPr>
      <w:ind w:firstLine="851"/>
      <w:jc w:val="both"/>
    </w:pPr>
    <w:rPr>
      <w:sz w:val="24"/>
    </w:rPr>
  </w:style>
  <w:style w:type="paragraph" w:customStyle="1" w:styleId="msonormalcxspmiddle">
    <w:name w:val="msonormalcxspmiddle"/>
    <w:basedOn w:val="a"/>
    <w:rsid w:val="00A056F5"/>
    <w:pPr>
      <w:spacing w:before="100" w:beforeAutospacing="1" w:after="100" w:afterAutospacing="1"/>
    </w:pPr>
    <w:rPr>
      <w:lang w:val="ru-RU"/>
    </w:rPr>
  </w:style>
  <w:style w:type="paragraph" w:styleId="aa">
    <w:name w:val="List Paragraph"/>
    <w:basedOn w:val="a"/>
    <w:uiPriority w:val="34"/>
    <w:qFormat/>
    <w:rsid w:val="00891BD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rvps2">
    <w:name w:val="rvps2"/>
    <w:basedOn w:val="a"/>
    <w:rsid w:val="00891BD7"/>
    <w:pPr>
      <w:spacing w:before="100" w:beforeAutospacing="1" w:after="100" w:afterAutospacing="1"/>
    </w:pPr>
    <w:rPr>
      <w:lang w:val="ru-RU"/>
    </w:rPr>
  </w:style>
  <w:style w:type="paragraph" w:styleId="ab">
    <w:name w:val="footer"/>
    <w:basedOn w:val="a"/>
    <w:link w:val="ac"/>
    <w:unhideWhenUsed/>
    <w:rsid w:val="00CA10E1"/>
    <w:pPr>
      <w:tabs>
        <w:tab w:val="center" w:pos="4677"/>
        <w:tab w:val="right" w:pos="9355"/>
      </w:tabs>
    </w:pPr>
  </w:style>
  <w:style w:type="character" w:customStyle="1" w:styleId="ac">
    <w:name w:val="Нижний колонтитул Знак"/>
    <w:basedOn w:val="a0"/>
    <w:link w:val="ab"/>
    <w:rsid w:val="00CA10E1"/>
    <w:rPr>
      <w:sz w:val="24"/>
      <w:szCs w:val="24"/>
      <w:lang w:val="uk-UA"/>
    </w:rPr>
  </w:style>
  <w:style w:type="character" w:styleId="ad">
    <w:name w:val="FollowedHyperlink"/>
    <w:basedOn w:val="a0"/>
    <w:semiHidden/>
    <w:unhideWhenUsed/>
    <w:rsid w:val="004F1F4D"/>
    <w:rPr>
      <w:color w:val="954F72" w:themeColor="followedHyperlink"/>
      <w:u w:val="single"/>
    </w:rPr>
  </w:style>
  <w:style w:type="paragraph" w:styleId="ae">
    <w:name w:val="Body Text"/>
    <w:basedOn w:val="a"/>
    <w:link w:val="af"/>
    <w:semiHidden/>
    <w:unhideWhenUsed/>
    <w:rsid w:val="00A77B1D"/>
    <w:pPr>
      <w:spacing w:after="120"/>
    </w:pPr>
  </w:style>
  <w:style w:type="character" w:customStyle="1" w:styleId="af">
    <w:name w:val="Основной текст Знак"/>
    <w:basedOn w:val="a0"/>
    <w:link w:val="ae"/>
    <w:semiHidden/>
    <w:rsid w:val="00A77B1D"/>
    <w:rPr>
      <w:sz w:val="24"/>
      <w:szCs w:val="24"/>
      <w:lang w:val="uk-UA"/>
    </w:rPr>
  </w:style>
  <w:style w:type="paragraph" w:customStyle="1" w:styleId="22">
    <w:name w:val="Абзац списка2"/>
    <w:basedOn w:val="a"/>
    <w:rsid w:val="00387F4B"/>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6773">
      <w:bodyDiv w:val="1"/>
      <w:marLeft w:val="0"/>
      <w:marRight w:val="0"/>
      <w:marTop w:val="0"/>
      <w:marBottom w:val="0"/>
      <w:divBdr>
        <w:top w:val="none" w:sz="0" w:space="0" w:color="auto"/>
        <w:left w:val="none" w:sz="0" w:space="0" w:color="auto"/>
        <w:bottom w:val="none" w:sz="0" w:space="0" w:color="auto"/>
        <w:right w:val="none" w:sz="0" w:space="0" w:color="auto"/>
      </w:divBdr>
    </w:div>
    <w:div w:id="594948005">
      <w:bodyDiv w:val="1"/>
      <w:marLeft w:val="0"/>
      <w:marRight w:val="0"/>
      <w:marTop w:val="0"/>
      <w:marBottom w:val="0"/>
      <w:divBdr>
        <w:top w:val="none" w:sz="0" w:space="0" w:color="auto"/>
        <w:left w:val="none" w:sz="0" w:space="0" w:color="auto"/>
        <w:bottom w:val="none" w:sz="0" w:space="0" w:color="auto"/>
        <w:right w:val="none" w:sz="0" w:space="0" w:color="auto"/>
      </w:divBdr>
      <w:divsChild>
        <w:div w:id="1024483946">
          <w:marLeft w:val="0"/>
          <w:marRight w:val="0"/>
          <w:marTop w:val="0"/>
          <w:marBottom w:val="0"/>
          <w:divBdr>
            <w:top w:val="none" w:sz="0" w:space="0" w:color="auto"/>
            <w:left w:val="none" w:sz="0" w:space="0" w:color="auto"/>
            <w:bottom w:val="none" w:sz="0" w:space="0" w:color="auto"/>
            <w:right w:val="none" w:sz="0" w:space="0" w:color="auto"/>
          </w:divBdr>
        </w:div>
        <w:div w:id="1850748789">
          <w:marLeft w:val="0"/>
          <w:marRight w:val="0"/>
          <w:marTop w:val="0"/>
          <w:marBottom w:val="0"/>
          <w:divBdr>
            <w:top w:val="none" w:sz="0" w:space="0" w:color="auto"/>
            <w:left w:val="none" w:sz="0" w:space="0" w:color="auto"/>
            <w:bottom w:val="none" w:sz="0" w:space="0" w:color="auto"/>
            <w:right w:val="none" w:sz="0" w:space="0" w:color="auto"/>
          </w:divBdr>
        </w:div>
      </w:divsChild>
    </w:div>
    <w:div w:id="1476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4309913.sc-u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309913.sc-u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ps.ligazakon.net/document/view/re27886?ed=2015_10_27&amp;an=153" TargetMode="External"/><Relationship Id="rId4" Type="http://schemas.openxmlformats.org/officeDocument/2006/relationships/webSettings" Target="webSettings.xml"/><Relationship Id="rId9" Type="http://schemas.openxmlformats.org/officeDocument/2006/relationships/hyperlink" Target="mailto:orion-ur@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4489</Words>
  <Characters>25590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SPFU</Company>
  <LinksUpToDate>false</LinksUpToDate>
  <CharactersWithSpaces>30019</CharactersWithSpaces>
  <SharedDoc>false</SharedDoc>
  <HLinks>
    <vt:vector size="12" baseType="variant">
      <vt:variant>
        <vt:i4>2818134</vt:i4>
      </vt:variant>
      <vt:variant>
        <vt:i4>3</vt:i4>
      </vt:variant>
      <vt:variant>
        <vt:i4>0</vt:i4>
      </vt:variant>
      <vt:variant>
        <vt:i4>5</vt:i4>
      </vt:variant>
      <vt:variant>
        <vt:lpwstr>http://_______/</vt:lpwstr>
      </vt:variant>
      <vt:variant>
        <vt:lpwstr/>
      </vt:variant>
      <vt:variant>
        <vt:i4>5963791</vt:i4>
      </vt:variant>
      <vt:variant>
        <vt:i4>0</vt:i4>
      </vt:variant>
      <vt:variant>
        <vt:i4>0</vt:i4>
      </vt:variant>
      <vt:variant>
        <vt:i4>5</vt:i4>
      </vt:variant>
      <vt:variant>
        <vt:lpwstr>http://www.______/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Харіна</dc:creator>
  <cp:keywords/>
  <dc:description/>
  <cp:lastModifiedBy>User2</cp:lastModifiedBy>
  <cp:revision>4</cp:revision>
  <cp:lastPrinted>2021-09-28T14:40:00Z</cp:lastPrinted>
  <dcterms:created xsi:type="dcterms:W3CDTF">2023-07-31T09:46:00Z</dcterms:created>
  <dcterms:modified xsi:type="dcterms:W3CDTF">2023-08-01T11:32:00Z</dcterms:modified>
</cp:coreProperties>
</file>