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51386" w14:textId="77777777" w:rsidR="00B93E4F" w:rsidRPr="007C00BE" w:rsidRDefault="00B93E4F" w:rsidP="00B93E4F">
      <w:pPr>
        <w:pStyle w:val="a7"/>
        <w:ind w:left="5103"/>
        <w:rPr>
          <w:rFonts w:ascii="Times New Roman" w:hAnsi="Times New Roman" w:cs="Times New Roman"/>
          <w:b/>
          <w:bCs/>
          <w:lang w:val="ru-RU"/>
        </w:rPr>
      </w:pPr>
      <w:bookmarkStart w:id="0" w:name="_Hlk192518041"/>
      <w:r w:rsidRPr="007C00BE">
        <w:rPr>
          <w:rFonts w:ascii="Times New Roman" w:hAnsi="Times New Roman" w:cs="Times New Roman"/>
          <w:b/>
          <w:bCs/>
          <w:lang w:val="ru-RU"/>
        </w:rPr>
        <w:t>«ЗАТВЕРДЖЕНО»</w:t>
      </w:r>
    </w:p>
    <w:p w14:paraId="7F0ABFDC" w14:textId="77777777" w:rsidR="00B93E4F" w:rsidRPr="007C00BE" w:rsidRDefault="00B93E4F" w:rsidP="00B93E4F">
      <w:pPr>
        <w:pStyle w:val="a7"/>
        <w:ind w:left="5103"/>
        <w:rPr>
          <w:rFonts w:ascii="Times New Roman" w:hAnsi="Times New Roman" w:cs="Times New Roman"/>
          <w:b/>
          <w:bCs/>
          <w:lang w:val="ru-RU"/>
        </w:rPr>
      </w:pPr>
      <w:r w:rsidRPr="007C00BE">
        <w:rPr>
          <w:rFonts w:ascii="Times New Roman" w:hAnsi="Times New Roman" w:cs="Times New Roman"/>
          <w:b/>
          <w:bCs/>
          <w:lang w:val="ru-RU"/>
        </w:rPr>
        <w:t>Директор</w:t>
      </w:r>
    </w:p>
    <w:p w14:paraId="5A6F665D" w14:textId="77777777" w:rsidR="00B93E4F" w:rsidRPr="007C00BE" w:rsidRDefault="00B93E4F" w:rsidP="00B93E4F">
      <w:pPr>
        <w:pStyle w:val="a7"/>
        <w:ind w:left="5103"/>
        <w:rPr>
          <w:rFonts w:ascii="Times New Roman" w:hAnsi="Times New Roman" w:cs="Times New Roman"/>
          <w:b/>
          <w:bCs/>
          <w:lang w:val="ru-RU"/>
        </w:rPr>
      </w:pPr>
      <w:r w:rsidRPr="007C00BE">
        <w:rPr>
          <w:rFonts w:ascii="Times New Roman" w:hAnsi="Times New Roman" w:cs="Times New Roman"/>
          <w:b/>
          <w:bCs/>
          <w:lang w:val="ru-RU"/>
        </w:rPr>
        <w:t xml:space="preserve">ТОВ «ПРДТ ФОНДОВИЙ ЦЕНТР»   </w:t>
      </w:r>
    </w:p>
    <w:p w14:paraId="7EB6D8F8" w14:textId="77777777" w:rsidR="00B93E4F" w:rsidRPr="007C00BE" w:rsidRDefault="00B93E4F" w:rsidP="00B93E4F">
      <w:pPr>
        <w:pStyle w:val="a7"/>
        <w:ind w:left="5103"/>
        <w:rPr>
          <w:rFonts w:ascii="Times New Roman" w:hAnsi="Times New Roman" w:cs="Times New Roman"/>
          <w:b/>
          <w:bCs/>
          <w:lang w:val="ru-RU"/>
        </w:rPr>
      </w:pPr>
      <w:r w:rsidRPr="007C00BE">
        <w:rPr>
          <w:rFonts w:ascii="Times New Roman" w:hAnsi="Times New Roman" w:cs="Times New Roman"/>
          <w:b/>
          <w:bCs/>
          <w:lang w:val="ru-RU"/>
        </w:rPr>
        <w:t>Голопотелюк О. В.</w:t>
      </w:r>
    </w:p>
    <w:p w14:paraId="47AEA478" w14:textId="77777777" w:rsidR="00B93E4F" w:rsidRPr="007C00BE" w:rsidRDefault="00B93E4F" w:rsidP="00B93E4F">
      <w:pPr>
        <w:pStyle w:val="a7"/>
        <w:ind w:left="5103"/>
        <w:rPr>
          <w:rFonts w:ascii="Times New Roman" w:hAnsi="Times New Roman" w:cs="Times New Roman"/>
          <w:b/>
          <w:bCs/>
          <w:lang w:val="ru-RU"/>
        </w:rPr>
      </w:pPr>
    </w:p>
    <w:p w14:paraId="11E86B89" w14:textId="77777777" w:rsidR="00B93E4F" w:rsidRPr="00CD29E3" w:rsidRDefault="00B93E4F" w:rsidP="00B93E4F">
      <w:pPr>
        <w:pStyle w:val="a7"/>
        <w:ind w:left="5103"/>
        <w:rPr>
          <w:rFonts w:ascii="Times New Roman" w:hAnsi="Times New Roman" w:cs="Times New Roman"/>
          <w:b/>
          <w:bCs/>
          <w:lang w:val="ru-RU"/>
        </w:rPr>
      </w:pPr>
      <w:r w:rsidRPr="00CD29E3">
        <w:rPr>
          <w:rFonts w:ascii="Times New Roman" w:hAnsi="Times New Roman" w:cs="Times New Roman"/>
          <w:b/>
          <w:bCs/>
          <w:lang w:val="ru-RU"/>
        </w:rPr>
        <w:t>_______________</w:t>
      </w:r>
    </w:p>
    <w:p w14:paraId="1C721561" w14:textId="7204373B" w:rsidR="00B93E4F" w:rsidRPr="00CD29E3" w:rsidRDefault="00B93E4F" w:rsidP="00B93E4F">
      <w:pPr>
        <w:pStyle w:val="a7"/>
        <w:ind w:left="5103"/>
        <w:rPr>
          <w:rFonts w:ascii="Times New Roman" w:hAnsi="Times New Roman" w:cs="Times New Roman"/>
          <w:b/>
          <w:bCs/>
          <w:lang w:val="ru-RU"/>
        </w:rPr>
      </w:pPr>
      <w:r w:rsidRPr="00CD29E3">
        <w:rPr>
          <w:rFonts w:ascii="Times New Roman" w:hAnsi="Times New Roman" w:cs="Times New Roman"/>
          <w:b/>
          <w:bCs/>
          <w:lang w:val="ru-RU"/>
        </w:rPr>
        <w:t xml:space="preserve">Наказ № </w:t>
      </w:r>
      <w:r w:rsidR="007D6408">
        <w:rPr>
          <w:rFonts w:ascii="Times New Roman" w:hAnsi="Times New Roman" w:cs="Times New Roman"/>
          <w:b/>
          <w:bCs/>
          <w:lang w:val="ru-RU"/>
        </w:rPr>
        <w:t>2</w:t>
      </w:r>
      <w:r w:rsidRPr="00CD29E3">
        <w:rPr>
          <w:rFonts w:ascii="Times New Roman" w:hAnsi="Times New Roman" w:cs="Times New Roman"/>
          <w:b/>
          <w:bCs/>
          <w:lang w:val="ru-RU"/>
        </w:rPr>
        <w:t xml:space="preserve"> від « </w:t>
      </w:r>
      <w:r w:rsidR="007D6408">
        <w:rPr>
          <w:rFonts w:ascii="Times New Roman" w:hAnsi="Times New Roman" w:cs="Times New Roman"/>
          <w:b/>
          <w:bCs/>
          <w:lang w:val="ru-RU"/>
        </w:rPr>
        <w:t>10</w:t>
      </w:r>
      <w:r w:rsidRPr="00CD29E3">
        <w:rPr>
          <w:rFonts w:ascii="Times New Roman" w:hAnsi="Times New Roman" w:cs="Times New Roman"/>
          <w:b/>
          <w:bCs/>
          <w:lang w:val="ru-RU"/>
        </w:rPr>
        <w:t xml:space="preserve"> » </w:t>
      </w:r>
      <w:r w:rsidR="007D6408">
        <w:rPr>
          <w:rFonts w:ascii="Times New Roman" w:hAnsi="Times New Roman" w:cs="Times New Roman"/>
          <w:b/>
          <w:bCs/>
          <w:lang w:val="ru-RU"/>
        </w:rPr>
        <w:t>лю</w:t>
      </w:r>
      <w:r w:rsidR="007D6408">
        <w:rPr>
          <w:rFonts w:ascii="Times New Roman" w:hAnsi="Times New Roman" w:cs="Times New Roman"/>
          <w:b/>
          <w:bCs/>
          <w:lang w:val="uk-UA"/>
        </w:rPr>
        <w:t>того</w:t>
      </w:r>
      <w:r w:rsidRPr="00CD29E3">
        <w:rPr>
          <w:rFonts w:ascii="Times New Roman" w:hAnsi="Times New Roman" w:cs="Times New Roman"/>
          <w:b/>
          <w:bCs/>
          <w:lang w:val="ru-RU"/>
        </w:rPr>
        <w:t xml:space="preserve"> 202</w:t>
      </w:r>
      <w:r w:rsidR="007D6408">
        <w:rPr>
          <w:rFonts w:ascii="Times New Roman" w:hAnsi="Times New Roman" w:cs="Times New Roman"/>
          <w:b/>
          <w:bCs/>
          <w:lang w:val="ru-RU"/>
        </w:rPr>
        <w:t>5</w:t>
      </w:r>
      <w:r w:rsidRPr="00CD29E3">
        <w:rPr>
          <w:rFonts w:ascii="Times New Roman" w:hAnsi="Times New Roman" w:cs="Times New Roman"/>
          <w:b/>
          <w:bCs/>
          <w:lang w:val="ru-RU"/>
        </w:rPr>
        <w:t xml:space="preserve"> р.                                                                                                 Вводиться в дію з </w:t>
      </w:r>
      <w:r w:rsidR="007D6408">
        <w:rPr>
          <w:rFonts w:ascii="Times New Roman" w:hAnsi="Times New Roman" w:cs="Times New Roman"/>
          <w:b/>
          <w:bCs/>
          <w:lang w:val="ru-RU"/>
        </w:rPr>
        <w:t xml:space="preserve">« </w:t>
      </w:r>
      <w:r w:rsidR="007D6408">
        <w:rPr>
          <w:rFonts w:ascii="Times New Roman" w:hAnsi="Times New Roman" w:cs="Times New Roman"/>
          <w:b/>
          <w:bCs/>
          <w:lang w:val="ru-RU"/>
        </w:rPr>
        <w:t>10</w:t>
      </w:r>
      <w:r w:rsidR="007D6408" w:rsidRPr="00CD29E3">
        <w:rPr>
          <w:rFonts w:ascii="Times New Roman" w:hAnsi="Times New Roman" w:cs="Times New Roman"/>
          <w:b/>
          <w:bCs/>
          <w:lang w:val="ru-RU"/>
        </w:rPr>
        <w:t xml:space="preserve"> » </w:t>
      </w:r>
      <w:r w:rsidR="007D6408">
        <w:rPr>
          <w:rFonts w:ascii="Times New Roman" w:hAnsi="Times New Roman" w:cs="Times New Roman"/>
          <w:b/>
          <w:bCs/>
          <w:lang w:val="ru-RU"/>
        </w:rPr>
        <w:t>лю</w:t>
      </w:r>
      <w:r w:rsidR="007D6408">
        <w:rPr>
          <w:rFonts w:ascii="Times New Roman" w:hAnsi="Times New Roman" w:cs="Times New Roman"/>
          <w:b/>
          <w:bCs/>
          <w:lang w:val="uk-UA"/>
        </w:rPr>
        <w:t>того</w:t>
      </w:r>
      <w:r w:rsidR="007D6408" w:rsidRPr="00CD29E3">
        <w:rPr>
          <w:rFonts w:ascii="Times New Roman" w:hAnsi="Times New Roman" w:cs="Times New Roman"/>
          <w:b/>
          <w:bCs/>
          <w:lang w:val="ru-RU"/>
        </w:rPr>
        <w:t xml:space="preserve"> 202</w:t>
      </w:r>
      <w:r w:rsidR="007D6408">
        <w:rPr>
          <w:rFonts w:ascii="Times New Roman" w:hAnsi="Times New Roman" w:cs="Times New Roman"/>
          <w:b/>
          <w:bCs/>
          <w:lang w:val="ru-RU"/>
        </w:rPr>
        <w:t>5</w:t>
      </w:r>
      <w:r w:rsidR="007D6408" w:rsidRPr="00CD29E3">
        <w:rPr>
          <w:rFonts w:ascii="Times New Roman" w:hAnsi="Times New Roman" w:cs="Times New Roman"/>
          <w:b/>
          <w:bCs/>
          <w:lang w:val="ru-RU"/>
        </w:rPr>
        <w:t xml:space="preserve"> </w:t>
      </w:r>
      <w:r w:rsidRPr="00CD29E3">
        <w:rPr>
          <w:rFonts w:ascii="Times New Roman" w:hAnsi="Times New Roman" w:cs="Times New Roman"/>
          <w:b/>
          <w:bCs/>
          <w:lang w:val="ru-RU"/>
        </w:rPr>
        <w:t>р.</w:t>
      </w:r>
    </w:p>
    <w:p w14:paraId="5EDB66EE" w14:textId="77777777" w:rsidR="007C00BE" w:rsidRPr="00616DB8" w:rsidRDefault="007C00BE" w:rsidP="007C00BE">
      <w:pPr>
        <w:spacing w:line="240" w:lineRule="auto"/>
        <w:rPr>
          <w:rFonts w:ascii="Times New Roman" w:hAnsi="Times New Roman" w:cs="Times New Roman"/>
          <w:lang w:val="ru-RU"/>
        </w:rPr>
      </w:pPr>
      <w:r w:rsidRPr="00616DB8">
        <w:rPr>
          <w:rFonts w:ascii="Times New Roman" w:hAnsi="Times New Roman" w:cs="Times New Roman"/>
          <w:b/>
          <w:bCs/>
          <w:lang w:val="ru-RU"/>
        </w:rPr>
        <w:tab/>
      </w:r>
    </w:p>
    <w:p w14:paraId="2208A8EE" w14:textId="77777777" w:rsidR="007C00BE" w:rsidRPr="007C00BE" w:rsidRDefault="007C00BE" w:rsidP="007C00BE">
      <w:pPr>
        <w:pStyle w:val="a7"/>
        <w:jc w:val="center"/>
        <w:rPr>
          <w:rFonts w:ascii="Times New Roman" w:hAnsi="Times New Roman" w:cs="Times New Roman"/>
          <w:sz w:val="28"/>
          <w:szCs w:val="28"/>
          <w:lang w:val="ru-RU"/>
        </w:rPr>
      </w:pPr>
      <w:r w:rsidRPr="00616DB8">
        <w:rPr>
          <w:lang w:val="ru-RU"/>
        </w:rPr>
        <w:br/>
      </w:r>
      <w:r w:rsidRPr="00616DB8">
        <w:rPr>
          <w:lang w:val="ru-RU"/>
        </w:rPr>
        <w:br/>
      </w:r>
      <w:r w:rsidRPr="00472394">
        <w:rPr>
          <w:lang w:val="ru-RU"/>
        </w:rPr>
        <w:br/>
      </w:r>
      <w:r w:rsidRPr="00472394">
        <w:rPr>
          <w:lang w:val="ru-RU"/>
        </w:rPr>
        <w:br/>
      </w:r>
    </w:p>
    <w:p w14:paraId="41457E97" w14:textId="77777777" w:rsidR="007C00BE" w:rsidRPr="007C00BE" w:rsidRDefault="007C00BE" w:rsidP="007C00BE">
      <w:pPr>
        <w:pStyle w:val="a7"/>
        <w:jc w:val="center"/>
        <w:rPr>
          <w:rFonts w:ascii="Times New Roman" w:hAnsi="Times New Roman" w:cs="Times New Roman"/>
          <w:sz w:val="28"/>
          <w:szCs w:val="28"/>
          <w:lang w:val="ru-RU"/>
        </w:rPr>
      </w:pPr>
      <w:r w:rsidRPr="007C00BE">
        <w:rPr>
          <w:rFonts w:ascii="Times New Roman" w:hAnsi="Times New Roman" w:cs="Times New Roman"/>
          <w:b/>
          <w:bCs/>
          <w:sz w:val="28"/>
          <w:szCs w:val="28"/>
          <w:lang w:val="ru-RU"/>
        </w:rPr>
        <w:t>ПОЛОЖЕННЯ</w:t>
      </w:r>
    </w:p>
    <w:p w14:paraId="22162F50" w14:textId="77777777" w:rsidR="007C00BE" w:rsidRPr="007C00BE" w:rsidRDefault="007C00BE" w:rsidP="007C00BE">
      <w:pPr>
        <w:pStyle w:val="a7"/>
        <w:jc w:val="center"/>
        <w:rPr>
          <w:rFonts w:ascii="Times New Roman" w:hAnsi="Times New Roman" w:cs="Times New Roman"/>
          <w:sz w:val="28"/>
          <w:szCs w:val="28"/>
          <w:lang w:val="ru-RU"/>
        </w:rPr>
      </w:pPr>
      <w:r w:rsidRPr="007C00BE">
        <w:rPr>
          <w:rFonts w:ascii="Times New Roman" w:hAnsi="Times New Roman" w:cs="Times New Roman"/>
          <w:b/>
          <w:bCs/>
          <w:sz w:val="28"/>
          <w:szCs w:val="28"/>
          <w:lang w:val="ru-RU"/>
        </w:rPr>
        <w:t>про провадження діяльності з торгівлі фінансовими інструментами</w:t>
      </w:r>
    </w:p>
    <w:p w14:paraId="4821DC57" w14:textId="77777777" w:rsidR="007C00BE" w:rsidRPr="007C00BE" w:rsidRDefault="007C00BE" w:rsidP="007C00BE">
      <w:pPr>
        <w:pStyle w:val="a7"/>
        <w:jc w:val="center"/>
        <w:rPr>
          <w:rFonts w:ascii="Times New Roman" w:hAnsi="Times New Roman" w:cs="Times New Roman"/>
          <w:sz w:val="28"/>
          <w:szCs w:val="28"/>
          <w:lang w:val="ru-RU"/>
        </w:rPr>
      </w:pPr>
      <w:r w:rsidRPr="007C00BE">
        <w:rPr>
          <w:rFonts w:ascii="Times New Roman" w:hAnsi="Times New Roman" w:cs="Times New Roman"/>
          <w:b/>
          <w:bCs/>
          <w:sz w:val="28"/>
          <w:szCs w:val="28"/>
          <w:lang w:val="ru-RU"/>
        </w:rPr>
        <w:t>в ТОВ "ПРДТ ФОНДОВИЙ ЦЕНТР"</w:t>
      </w:r>
    </w:p>
    <w:p w14:paraId="17AA9066" w14:textId="560ECBFF" w:rsidR="00F84879" w:rsidRPr="00472394" w:rsidRDefault="007C00BE" w:rsidP="007C00BE">
      <w:pPr>
        <w:spacing w:line="240" w:lineRule="auto"/>
        <w:jc w:val="center"/>
        <w:rPr>
          <w:rFonts w:ascii="Times New Roman" w:hAnsi="Times New Roman" w:cs="Times New Roman"/>
          <w:lang w:val="ru-RU"/>
        </w:rPr>
      </w:pPr>
      <w:r w:rsidRPr="007C00BE">
        <w:rPr>
          <w:rFonts w:ascii="Times New Roman" w:hAnsi="Times New Roman" w:cs="Times New Roman"/>
          <w:b/>
          <w:bCs/>
          <w:sz w:val="28"/>
          <w:szCs w:val="28"/>
          <w:lang w:val="ru-RU"/>
        </w:rPr>
        <w:t>код ЄДРПОУ 22452796</w:t>
      </w:r>
      <w:r w:rsidRPr="007C00BE">
        <w:rPr>
          <w:rFonts w:ascii="Times New Roman" w:hAnsi="Times New Roman" w:cs="Times New Roman"/>
          <w:b/>
          <w:bCs/>
          <w:sz w:val="28"/>
          <w:szCs w:val="28"/>
          <w:lang w:val="ru-RU"/>
        </w:rPr>
        <w:br/>
      </w:r>
      <w:r w:rsidR="00F84879" w:rsidRPr="007C00BE">
        <w:rPr>
          <w:rFonts w:ascii="Times New Roman" w:hAnsi="Times New Roman" w:cs="Times New Roman"/>
          <w:lang w:val="ru-RU"/>
        </w:rPr>
        <w:br/>
      </w:r>
      <w:r w:rsidR="00F84879" w:rsidRPr="007C00BE">
        <w:rPr>
          <w:rFonts w:ascii="Times New Roman" w:hAnsi="Times New Roman" w:cs="Times New Roman"/>
          <w:lang w:val="ru-RU"/>
        </w:rPr>
        <w:br/>
      </w:r>
      <w:r w:rsidR="00F84879" w:rsidRPr="00472394">
        <w:rPr>
          <w:rFonts w:ascii="Times New Roman" w:hAnsi="Times New Roman" w:cs="Times New Roman"/>
          <w:lang w:val="ru-RU"/>
        </w:rPr>
        <w:br/>
      </w:r>
    </w:p>
    <w:p w14:paraId="23C3481F" w14:textId="5FE6FF5B" w:rsidR="00F84879" w:rsidRPr="00472394" w:rsidRDefault="00F84879" w:rsidP="001B24A0">
      <w:pPr>
        <w:numPr>
          <w:ilvl w:val="0"/>
          <w:numId w:val="1"/>
        </w:numPr>
        <w:tabs>
          <w:tab w:val="clear" w:pos="720"/>
          <w:tab w:val="num" w:pos="360"/>
        </w:tabs>
        <w:spacing w:line="240" w:lineRule="auto"/>
        <w:ind w:left="0" w:firstLine="360"/>
        <w:rPr>
          <w:rFonts w:ascii="Times New Roman" w:hAnsi="Times New Roman" w:cs="Times New Roman"/>
          <w:lang w:val="ru-RU"/>
        </w:rPr>
      </w:pPr>
      <w:r w:rsidRPr="00472394">
        <w:rPr>
          <w:rFonts w:ascii="Times New Roman" w:hAnsi="Times New Roman" w:cs="Times New Roman"/>
          <w:lang w:val="ru-RU"/>
        </w:rPr>
        <w:t xml:space="preserve">Положення про провадження діяльності з торгівлі фінансовими інструментами (надалі - Положення) регулює питання організації провадження професійної діяльності на фондовому ринку – діяльності з торгівлі фінансовими інструментами, визначає порядок та умови проведення операцій з цінними паперами та іншими фінансовими інструментами, ведення обліку та подання звітності щодо операцій з цінними паперами та іншими фінансовими інструментами, правил організації системи внутрішнього обліку тощо у </w:t>
      </w:r>
      <w:r w:rsidR="00631C23">
        <w:rPr>
          <w:rFonts w:ascii="Times New Roman" w:hAnsi="Times New Roman" w:cs="Times New Roman"/>
          <w:lang w:val="ru-RU"/>
        </w:rPr>
        <w:t>ТОВАРИСТВІ З ОБМЕЖЕНОЮ ВІДПОВІДАЛЬНІСТЮ "ПІВДЕННИЙ РЕГІОНАЛЬНИЙ ДЕПОЗИТАРНО-ТОРГОВИЙ ФОНДОВИЙ ЦЕНТР"</w:t>
      </w:r>
      <w:r w:rsidRPr="00472394">
        <w:rPr>
          <w:rFonts w:ascii="Times New Roman" w:hAnsi="Times New Roman" w:cs="Times New Roman"/>
          <w:lang w:val="ru-RU"/>
        </w:rPr>
        <w:t xml:space="preserve">, код ЄДРПОУ </w:t>
      </w:r>
      <w:r w:rsidR="00631C23">
        <w:rPr>
          <w:rFonts w:ascii="Times New Roman" w:hAnsi="Times New Roman" w:cs="Times New Roman"/>
          <w:lang w:val="ru-RU"/>
        </w:rPr>
        <w:t>22452796</w:t>
      </w:r>
      <w:r w:rsidRPr="00472394">
        <w:rPr>
          <w:rFonts w:ascii="Times New Roman" w:hAnsi="Times New Roman" w:cs="Times New Roman"/>
          <w:lang w:val="ru-RU"/>
        </w:rPr>
        <w:t xml:space="preserve"> (надалі – Інвестиційна фірма).</w:t>
      </w:r>
    </w:p>
    <w:p w14:paraId="15B28F6D" w14:textId="77777777" w:rsidR="00F84879" w:rsidRPr="00472394" w:rsidRDefault="00F84879" w:rsidP="001B24A0">
      <w:pPr>
        <w:numPr>
          <w:ilvl w:val="0"/>
          <w:numId w:val="1"/>
        </w:numPr>
        <w:tabs>
          <w:tab w:val="clear" w:pos="720"/>
          <w:tab w:val="num" w:pos="360"/>
        </w:tabs>
        <w:spacing w:line="240" w:lineRule="auto"/>
        <w:ind w:left="0" w:firstLine="360"/>
        <w:rPr>
          <w:rFonts w:ascii="Times New Roman" w:hAnsi="Times New Roman" w:cs="Times New Roman"/>
          <w:lang w:val="ru-RU"/>
        </w:rPr>
      </w:pPr>
      <w:r w:rsidRPr="00472394">
        <w:rPr>
          <w:rFonts w:ascii="Times New Roman" w:hAnsi="Times New Roman" w:cs="Times New Roman"/>
          <w:lang w:val="ru-RU"/>
        </w:rPr>
        <w:t>Положення є достатнім для того, щоб забезпечити виконання Інвестиційною фірмою, її керівним органом та працівниками зобов’язань, визначених законодавством, та складається з наступних окремих документів:</w:t>
      </w:r>
    </w:p>
    <w:p w14:paraId="53F33CD6" w14:textId="77777777" w:rsidR="00F84879" w:rsidRPr="007C00BE" w:rsidRDefault="00F84879" w:rsidP="007C00BE">
      <w:pPr>
        <w:pStyle w:val="ac"/>
        <w:rPr>
          <w:b/>
          <w:bCs/>
          <w:lang w:val="ru-RU"/>
        </w:rPr>
      </w:pPr>
      <w:r w:rsidRPr="007C00BE">
        <w:rPr>
          <w:b/>
          <w:bCs/>
          <w:lang w:val="ru-RU"/>
        </w:rPr>
        <w:t>І. Процедури прийняття рішень відповідними особами.</w:t>
      </w:r>
    </w:p>
    <w:p w14:paraId="3571CF1C" w14:textId="374A0794" w:rsidR="00F84879" w:rsidRPr="00472394" w:rsidRDefault="00F84879" w:rsidP="007C00BE">
      <w:pPr>
        <w:pStyle w:val="ac"/>
        <w:rPr>
          <w:lang w:val="ru-RU"/>
        </w:rPr>
      </w:pPr>
      <w:r w:rsidRPr="00472394">
        <w:rPr>
          <w:lang w:val="ru-RU"/>
        </w:rPr>
        <w:t>Глава 1. Загальні організаційні вимоги.</w:t>
      </w:r>
    </w:p>
    <w:p w14:paraId="6A233831" w14:textId="77777777" w:rsidR="00F84879" w:rsidRPr="00472394" w:rsidRDefault="00F84879" w:rsidP="007C00BE">
      <w:pPr>
        <w:pStyle w:val="ac"/>
        <w:rPr>
          <w:lang w:val="ru-RU"/>
        </w:rPr>
      </w:pPr>
      <w:r w:rsidRPr="00472394">
        <w:rPr>
          <w:lang w:val="ru-RU"/>
        </w:rPr>
        <w:t>Глава 2. Процедури прийняття рішень відповідними особами.</w:t>
      </w:r>
    </w:p>
    <w:p w14:paraId="642F9387" w14:textId="77777777" w:rsidR="00F84879" w:rsidRPr="00472394" w:rsidRDefault="00F84879" w:rsidP="007C00BE">
      <w:pPr>
        <w:pStyle w:val="ac"/>
        <w:rPr>
          <w:lang w:val="ru-RU"/>
        </w:rPr>
      </w:pPr>
      <w:r w:rsidRPr="00472394">
        <w:rPr>
          <w:lang w:val="ru-RU"/>
        </w:rPr>
        <w:t>Глава 3. Процедури безперервності надання послуг</w:t>
      </w:r>
    </w:p>
    <w:p w14:paraId="103B992F" w14:textId="77777777" w:rsidR="00F84879" w:rsidRPr="00472394" w:rsidRDefault="00F84879" w:rsidP="007C00BE">
      <w:pPr>
        <w:pStyle w:val="ac"/>
        <w:rPr>
          <w:lang w:val="ru-RU"/>
        </w:rPr>
      </w:pPr>
    </w:p>
    <w:p w14:paraId="59704C35" w14:textId="77777777" w:rsidR="00F84879" w:rsidRPr="007C00BE" w:rsidRDefault="00F84879" w:rsidP="007C00BE">
      <w:pPr>
        <w:pStyle w:val="ac"/>
        <w:rPr>
          <w:b/>
          <w:bCs/>
          <w:lang w:val="ru-RU"/>
        </w:rPr>
      </w:pPr>
      <w:r w:rsidRPr="007C00BE">
        <w:rPr>
          <w:b/>
          <w:bCs/>
          <w:lang w:val="ru-RU"/>
        </w:rPr>
        <w:t>ІІ. Порядок вчинення правочинів щодо фінансових інструментів (укладання договорів).</w:t>
      </w:r>
    </w:p>
    <w:p w14:paraId="44286692" w14:textId="77777777" w:rsidR="00F84879" w:rsidRPr="007C00BE" w:rsidRDefault="00F84879" w:rsidP="007C00BE">
      <w:pPr>
        <w:pStyle w:val="ac"/>
        <w:rPr>
          <w:b/>
          <w:bCs/>
          <w:lang w:val="ru-RU"/>
        </w:rPr>
      </w:pPr>
      <w:r w:rsidRPr="007C00BE">
        <w:rPr>
          <w:b/>
          <w:bCs/>
          <w:lang w:val="ru-RU"/>
        </w:rPr>
        <w:t>ІІІ. Порядок укладання особистих угод.</w:t>
      </w:r>
    </w:p>
    <w:p w14:paraId="5CF3B64B" w14:textId="77777777" w:rsidR="00F84879" w:rsidRPr="007C00BE" w:rsidRDefault="00F84879" w:rsidP="007C00BE">
      <w:pPr>
        <w:pStyle w:val="ac"/>
        <w:rPr>
          <w:b/>
          <w:bCs/>
          <w:lang w:val="ru-RU"/>
        </w:rPr>
      </w:pPr>
      <w:r w:rsidRPr="007C00BE">
        <w:rPr>
          <w:b/>
          <w:bCs/>
          <w:lang w:val="ru-RU"/>
        </w:rPr>
        <w:t>ІV. Процедури моніторингу та виявлення «підозрілих» операцій.</w:t>
      </w:r>
    </w:p>
    <w:p w14:paraId="0CA5517D" w14:textId="77777777" w:rsidR="00F84879" w:rsidRPr="007C00BE" w:rsidRDefault="00F84879" w:rsidP="007C00BE">
      <w:pPr>
        <w:pStyle w:val="ac"/>
        <w:rPr>
          <w:b/>
          <w:bCs/>
          <w:lang w:val="ru-RU"/>
        </w:rPr>
      </w:pPr>
      <w:r w:rsidRPr="007C00BE">
        <w:rPr>
          <w:b/>
          <w:bCs/>
          <w:lang w:val="ru-RU"/>
        </w:rPr>
        <w:t>V. Порядок роботи з клієнтами.</w:t>
      </w:r>
    </w:p>
    <w:p w14:paraId="3D33CDA6" w14:textId="77777777" w:rsidR="00F84879" w:rsidRPr="00472394" w:rsidRDefault="00F84879" w:rsidP="007C00BE">
      <w:pPr>
        <w:pStyle w:val="ac"/>
        <w:rPr>
          <w:lang w:val="ru-RU"/>
        </w:rPr>
      </w:pPr>
      <w:r w:rsidRPr="00472394">
        <w:rPr>
          <w:lang w:val="ru-RU"/>
        </w:rPr>
        <w:t>Глава 1. Порядок проведення оцінювання клієнта.</w:t>
      </w:r>
    </w:p>
    <w:p w14:paraId="07653DB6" w14:textId="77777777" w:rsidR="00F84879" w:rsidRPr="00472394" w:rsidRDefault="00F84879" w:rsidP="007C00BE">
      <w:pPr>
        <w:pStyle w:val="ac"/>
        <w:rPr>
          <w:lang w:val="ru-RU"/>
        </w:rPr>
      </w:pPr>
      <w:r w:rsidRPr="00472394">
        <w:rPr>
          <w:lang w:val="ru-RU"/>
        </w:rPr>
        <w:t>Глава 2. Вимоги щодо надання інформації клієнтам (потенційним клієнтам) про фінансові інструменти</w:t>
      </w:r>
    </w:p>
    <w:p w14:paraId="51FD31E1" w14:textId="77777777" w:rsidR="00F84879" w:rsidRPr="00472394" w:rsidRDefault="00F84879" w:rsidP="007C00BE">
      <w:pPr>
        <w:pStyle w:val="ac"/>
        <w:rPr>
          <w:lang w:val="ru-RU"/>
        </w:rPr>
      </w:pPr>
      <w:r w:rsidRPr="00472394">
        <w:rPr>
          <w:lang w:val="ru-RU"/>
        </w:rPr>
        <w:t>Глава 3. Порядок виконання замовлень клієнтів з метою отримання якомога кращого результату для клієнтів.</w:t>
      </w:r>
    </w:p>
    <w:p w14:paraId="796F5881" w14:textId="77777777" w:rsidR="00F84879" w:rsidRPr="00472394" w:rsidRDefault="00F84879" w:rsidP="007C00BE">
      <w:pPr>
        <w:pStyle w:val="ac"/>
        <w:rPr>
          <w:lang w:val="ru-RU"/>
        </w:rPr>
      </w:pPr>
      <w:r w:rsidRPr="00472394">
        <w:rPr>
          <w:lang w:val="ru-RU"/>
        </w:rPr>
        <w:t>Глава 4. Процедури фіксації взаємодії з клієнтами (представниками клієнтів) та іншими учасниками ринку цінних паперів.</w:t>
      </w:r>
    </w:p>
    <w:p w14:paraId="3FA34FEA" w14:textId="77777777" w:rsidR="00F84879" w:rsidRPr="00472394" w:rsidRDefault="00F84879" w:rsidP="007C00BE">
      <w:pPr>
        <w:pStyle w:val="ac"/>
        <w:rPr>
          <w:lang w:val="ru-RU"/>
        </w:rPr>
      </w:pPr>
    </w:p>
    <w:p w14:paraId="773D9201" w14:textId="77777777" w:rsidR="00F84879" w:rsidRPr="00472394" w:rsidRDefault="00F84879" w:rsidP="007C00BE">
      <w:pPr>
        <w:pStyle w:val="ac"/>
        <w:rPr>
          <w:lang w:val="ru-RU"/>
        </w:rPr>
      </w:pPr>
      <w:r w:rsidRPr="00472394">
        <w:rPr>
          <w:b/>
          <w:bCs/>
          <w:lang w:val="ru-RU"/>
        </w:rPr>
        <w:t>VІ. Процедури проведення оцінки відповідності та доречності надання інвестиційних порад та інвестиційних послуг клієнту та звітування перед клієнтом.</w:t>
      </w:r>
    </w:p>
    <w:p w14:paraId="101733F1" w14:textId="77777777" w:rsidR="00F84879" w:rsidRPr="00472394" w:rsidRDefault="00F84879" w:rsidP="007C00BE">
      <w:pPr>
        <w:pStyle w:val="ac"/>
        <w:rPr>
          <w:lang w:val="ru-RU"/>
        </w:rPr>
      </w:pPr>
      <w:r w:rsidRPr="00472394">
        <w:rPr>
          <w:lang w:val="ru-RU"/>
        </w:rPr>
        <w:lastRenderedPageBreak/>
        <w:t>Глава 1. Оцінювання відповідності та доречності надання інвестиційних порад та інвестиційних послуг.</w:t>
      </w:r>
    </w:p>
    <w:p w14:paraId="65305687" w14:textId="77777777" w:rsidR="00F84879" w:rsidRPr="00472394" w:rsidRDefault="00F84879" w:rsidP="007C00BE">
      <w:pPr>
        <w:pStyle w:val="ac"/>
        <w:rPr>
          <w:lang w:val="ru-RU"/>
        </w:rPr>
      </w:pPr>
      <w:r w:rsidRPr="00472394">
        <w:rPr>
          <w:lang w:val="ru-RU"/>
        </w:rPr>
        <w:t>Глава 2. Вимоги щодо надання звітів клієнта .</w:t>
      </w:r>
    </w:p>
    <w:p w14:paraId="0A7458CE" w14:textId="77777777" w:rsidR="00F84879" w:rsidRPr="00472394" w:rsidRDefault="00F84879" w:rsidP="007C00BE">
      <w:pPr>
        <w:pStyle w:val="ac"/>
        <w:rPr>
          <w:lang w:val="ru-RU"/>
        </w:rPr>
      </w:pPr>
      <w:r w:rsidRPr="00472394">
        <w:rPr>
          <w:lang w:val="ru-RU"/>
        </w:rPr>
        <w:t>Глава 3. Вимоги щодо надання інвестиційних порад та вимоги щодо надання послуг з інвестиційного консультування.</w:t>
      </w:r>
    </w:p>
    <w:p w14:paraId="2C7F8F8F" w14:textId="77777777" w:rsidR="00F84879" w:rsidRPr="00472394" w:rsidRDefault="00F84879" w:rsidP="007C00BE">
      <w:pPr>
        <w:pStyle w:val="ac"/>
        <w:rPr>
          <w:lang w:val="ru-RU"/>
        </w:rPr>
      </w:pPr>
    </w:p>
    <w:p w14:paraId="34B327AF" w14:textId="77777777" w:rsidR="00F84879" w:rsidRPr="007C00BE" w:rsidRDefault="00F84879" w:rsidP="007C00BE">
      <w:pPr>
        <w:pStyle w:val="ac"/>
        <w:rPr>
          <w:b/>
          <w:bCs/>
          <w:lang w:val="ru-RU"/>
        </w:rPr>
      </w:pPr>
      <w:r w:rsidRPr="00472394">
        <w:rPr>
          <w:rFonts w:cs="Times New Roman"/>
          <w:b/>
          <w:bCs/>
          <w:lang w:val="ru-RU"/>
        </w:rPr>
        <w:t xml:space="preserve">VІІ. Порядок провадження діяльності з торгівлі фінансовими інструментами за видами діяльності, на </w:t>
      </w:r>
      <w:r w:rsidRPr="007C00BE">
        <w:rPr>
          <w:b/>
          <w:bCs/>
          <w:lang w:val="ru-RU"/>
        </w:rPr>
        <w:t>які Інвестиційна фірма має відповідні ліцензії.</w:t>
      </w:r>
    </w:p>
    <w:p w14:paraId="58062A08" w14:textId="77777777" w:rsidR="00F84879" w:rsidRPr="007C00BE" w:rsidRDefault="00F84879" w:rsidP="007C00BE">
      <w:pPr>
        <w:pStyle w:val="ac"/>
        <w:rPr>
          <w:lang w:val="ru-RU"/>
        </w:rPr>
      </w:pPr>
      <w:r w:rsidRPr="007C00BE">
        <w:rPr>
          <w:lang w:val="ru-RU"/>
        </w:rPr>
        <w:t>Глава 1. Порядок провадження брокерської діяльності.</w:t>
      </w:r>
    </w:p>
    <w:p w14:paraId="7F875D5A" w14:textId="77777777" w:rsidR="00F84879" w:rsidRPr="007C00BE" w:rsidRDefault="00F84879" w:rsidP="007C00BE">
      <w:pPr>
        <w:pStyle w:val="ac"/>
        <w:rPr>
          <w:lang w:val="ru-RU"/>
        </w:rPr>
      </w:pPr>
      <w:r w:rsidRPr="007C00BE">
        <w:rPr>
          <w:lang w:val="ru-RU"/>
        </w:rPr>
        <w:t>Глава 2. Порядок провадження субброкерської діяльності.</w:t>
      </w:r>
    </w:p>
    <w:p w14:paraId="07154DD8" w14:textId="77777777" w:rsidR="00F84879" w:rsidRPr="007C00BE" w:rsidRDefault="00F84879" w:rsidP="007C00BE">
      <w:pPr>
        <w:pStyle w:val="ac"/>
        <w:rPr>
          <w:lang w:val="ru-RU"/>
        </w:rPr>
      </w:pPr>
      <w:r w:rsidRPr="007C00BE">
        <w:rPr>
          <w:lang w:val="ru-RU"/>
        </w:rPr>
        <w:t>Глава 3. Порядок здійснення інвестиційного консультування.</w:t>
      </w:r>
    </w:p>
    <w:p w14:paraId="57580C98" w14:textId="77777777" w:rsidR="00F84879" w:rsidRPr="007C00BE" w:rsidRDefault="00F84879" w:rsidP="007C00BE">
      <w:pPr>
        <w:pStyle w:val="ac"/>
        <w:rPr>
          <w:lang w:val="ru-RU"/>
        </w:rPr>
      </w:pPr>
      <w:r w:rsidRPr="007C00BE">
        <w:rPr>
          <w:lang w:val="ru-RU"/>
        </w:rPr>
        <w:t>Глава 4. Порядок провадження дилерської діяльності.</w:t>
      </w:r>
    </w:p>
    <w:p w14:paraId="67E7F4BD" w14:textId="77777777" w:rsidR="00F84879" w:rsidRPr="007C00BE" w:rsidRDefault="00F84879" w:rsidP="007C00BE">
      <w:pPr>
        <w:pStyle w:val="ac"/>
        <w:rPr>
          <w:lang w:val="ru-RU"/>
        </w:rPr>
      </w:pPr>
      <w:r w:rsidRPr="007C00BE">
        <w:rPr>
          <w:lang w:val="ru-RU"/>
        </w:rPr>
        <w:t>Глава 5. Порядок провадження діяльності з управління портфелем фінансових інструментів.</w:t>
      </w:r>
    </w:p>
    <w:p w14:paraId="48A4E87A" w14:textId="77777777" w:rsidR="00F84879" w:rsidRPr="007C00BE" w:rsidRDefault="00F84879" w:rsidP="007C00BE">
      <w:pPr>
        <w:pStyle w:val="ac"/>
        <w:rPr>
          <w:lang w:val="ru-RU"/>
        </w:rPr>
      </w:pPr>
      <w:r w:rsidRPr="007C00BE">
        <w:rPr>
          <w:lang w:val="ru-RU"/>
        </w:rPr>
        <w:t>Глава 6. Порядок здійснення андеррайтингу, діяльності з розміщення з наданням гарантій та/або  діяльності з розміщення без надання гарантій.</w:t>
      </w:r>
    </w:p>
    <w:p w14:paraId="797766C9" w14:textId="77777777" w:rsidR="00F84879" w:rsidRPr="007C00BE" w:rsidRDefault="00F84879" w:rsidP="007C00BE">
      <w:pPr>
        <w:pStyle w:val="ac"/>
        <w:rPr>
          <w:lang w:val="ru-RU"/>
        </w:rPr>
      </w:pPr>
      <w:r w:rsidRPr="007C00BE">
        <w:rPr>
          <w:lang w:val="ru-RU"/>
        </w:rPr>
        <w:t>Глава 7. Обов'язки та обмеження Інвестиційні фірми при здійсненні нею професійної діяльності.</w:t>
      </w:r>
    </w:p>
    <w:p w14:paraId="74AF1E62" w14:textId="77777777" w:rsidR="00F84879" w:rsidRPr="007C00BE" w:rsidRDefault="00F84879" w:rsidP="007C00BE">
      <w:pPr>
        <w:pStyle w:val="ac"/>
        <w:rPr>
          <w:lang w:val="ru-RU"/>
        </w:rPr>
      </w:pPr>
    </w:p>
    <w:p w14:paraId="7D2D8F0F" w14:textId="77777777" w:rsidR="00F84879" w:rsidRPr="007C00BE" w:rsidRDefault="00F84879" w:rsidP="007C00BE">
      <w:pPr>
        <w:pStyle w:val="ac"/>
        <w:rPr>
          <w:b/>
          <w:bCs/>
          <w:lang w:val="ru-RU"/>
        </w:rPr>
      </w:pPr>
      <w:r w:rsidRPr="007C00BE">
        <w:rPr>
          <w:b/>
          <w:bCs/>
          <w:lang w:val="ru-RU"/>
        </w:rPr>
        <w:t>VІІІ. Порядок ведення обліку та подання звітності щодо операцій з фінансовими інструментами.</w:t>
      </w:r>
    </w:p>
    <w:p w14:paraId="57D61D39" w14:textId="77777777" w:rsidR="00F84879" w:rsidRPr="00472394" w:rsidRDefault="00F84879" w:rsidP="007C00BE">
      <w:pPr>
        <w:pStyle w:val="ac"/>
        <w:rPr>
          <w:lang w:val="ru-RU"/>
        </w:rPr>
      </w:pPr>
      <w:r w:rsidRPr="00472394">
        <w:rPr>
          <w:lang w:val="ru-RU"/>
        </w:rPr>
        <w:t>Глава 1. Порядок ведення обліку щодо операцій з цінними паперами/іншими фінансовими інструментами.</w:t>
      </w:r>
    </w:p>
    <w:p w14:paraId="4C2BE767" w14:textId="77777777" w:rsidR="00F84879" w:rsidRPr="00472394" w:rsidRDefault="00F84879" w:rsidP="007C00BE">
      <w:pPr>
        <w:pStyle w:val="ac"/>
        <w:rPr>
          <w:lang w:val="ru-RU"/>
        </w:rPr>
      </w:pPr>
      <w:r w:rsidRPr="00472394">
        <w:rPr>
          <w:lang w:val="ru-RU"/>
        </w:rPr>
        <w:t>Глава 2. Порядок подання звітності щодо операцій з цінними паперами щодо операцій з фінансовими інструментами.</w:t>
      </w:r>
    </w:p>
    <w:p w14:paraId="4B593023" w14:textId="77777777" w:rsidR="00F84879" w:rsidRPr="00472394" w:rsidRDefault="00F84879" w:rsidP="007C00BE">
      <w:pPr>
        <w:pStyle w:val="ac"/>
        <w:rPr>
          <w:lang w:val="ru-RU"/>
        </w:rPr>
      </w:pPr>
      <w:r w:rsidRPr="00472394">
        <w:rPr>
          <w:lang w:val="ru-RU"/>
        </w:rPr>
        <w:t>Глава 3. Порядок проведення звірки наявності коштів, цінних паперів та інших фінансових інструментів.</w:t>
      </w:r>
    </w:p>
    <w:p w14:paraId="379880C3" w14:textId="77777777" w:rsidR="00F84879" w:rsidRPr="00472394" w:rsidRDefault="00F84879" w:rsidP="00472394">
      <w:pPr>
        <w:spacing w:line="240" w:lineRule="auto"/>
        <w:rPr>
          <w:rFonts w:ascii="Times New Roman" w:hAnsi="Times New Roman" w:cs="Times New Roman"/>
          <w:lang w:val="ru-RU"/>
        </w:rPr>
      </w:pPr>
    </w:p>
    <w:p w14:paraId="70908EB4" w14:textId="77777777" w:rsidR="00F84879" w:rsidRPr="007C00BE" w:rsidRDefault="00F84879" w:rsidP="007C00BE">
      <w:pPr>
        <w:pStyle w:val="ac"/>
        <w:rPr>
          <w:b/>
          <w:bCs/>
          <w:lang w:val="ru-RU"/>
        </w:rPr>
      </w:pPr>
      <w:r w:rsidRPr="007C00BE">
        <w:rPr>
          <w:b/>
          <w:bCs/>
          <w:lang w:val="ru-RU"/>
        </w:rPr>
        <w:t>ІХ. Порядок ведення обліку та подання звітності щодо коштів клієнтів.</w:t>
      </w:r>
    </w:p>
    <w:p w14:paraId="74BF95BC" w14:textId="77777777" w:rsidR="00F84879" w:rsidRPr="00472394" w:rsidRDefault="00F84879" w:rsidP="007C00BE">
      <w:pPr>
        <w:pStyle w:val="ac"/>
        <w:rPr>
          <w:lang w:val="ru-RU"/>
        </w:rPr>
      </w:pPr>
      <w:r w:rsidRPr="00472394">
        <w:rPr>
          <w:lang w:val="ru-RU"/>
        </w:rPr>
        <w:t>Глава 1. Порядок ведення обліку коштів клієнтів.</w:t>
      </w:r>
    </w:p>
    <w:p w14:paraId="74E0415C" w14:textId="77777777" w:rsidR="00F84879" w:rsidRPr="00472394" w:rsidRDefault="00F84879" w:rsidP="007C00BE">
      <w:pPr>
        <w:pStyle w:val="ac"/>
        <w:rPr>
          <w:lang w:val="ru-RU"/>
        </w:rPr>
      </w:pPr>
      <w:r w:rsidRPr="00472394">
        <w:rPr>
          <w:lang w:val="ru-RU"/>
        </w:rPr>
        <w:t>Глава 2. Подання звітності щодо коштів клієнтів</w:t>
      </w:r>
    </w:p>
    <w:p w14:paraId="33A99314" w14:textId="77777777" w:rsidR="007C00BE" w:rsidRDefault="007C00BE" w:rsidP="00472394">
      <w:pPr>
        <w:spacing w:line="240" w:lineRule="auto"/>
        <w:rPr>
          <w:rFonts w:ascii="Times New Roman" w:hAnsi="Times New Roman" w:cs="Times New Roman"/>
          <w:b/>
          <w:bCs/>
          <w:lang w:val="ru-RU"/>
        </w:rPr>
      </w:pPr>
    </w:p>
    <w:p w14:paraId="3D1CC408" w14:textId="2D9E798B" w:rsidR="00F84879" w:rsidRPr="00472394" w:rsidRDefault="00F84879" w:rsidP="00472394">
      <w:pPr>
        <w:spacing w:line="240" w:lineRule="auto"/>
        <w:rPr>
          <w:rFonts w:ascii="Times New Roman" w:hAnsi="Times New Roman" w:cs="Times New Roman"/>
          <w:lang w:val="ru-RU"/>
        </w:rPr>
      </w:pPr>
      <w:r w:rsidRPr="00472394">
        <w:rPr>
          <w:rFonts w:ascii="Times New Roman" w:hAnsi="Times New Roman" w:cs="Times New Roman"/>
          <w:b/>
          <w:bCs/>
          <w:lang w:val="ru-RU"/>
        </w:rPr>
        <w:t>Х. Вимоги, спрямовані на врегулювання та запобігання конфлікту інтересів при провадженні професійної діяльності на фондовому ринку.</w:t>
      </w:r>
    </w:p>
    <w:p w14:paraId="7A6C8483" w14:textId="77777777" w:rsidR="00F84879" w:rsidRPr="00472394" w:rsidRDefault="00F84879" w:rsidP="00472394">
      <w:pPr>
        <w:spacing w:line="240" w:lineRule="auto"/>
        <w:rPr>
          <w:rFonts w:ascii="Times New Roman" w:hAnsi="Times New Roman" w:cs="Times New Roman"/>
          <w:lang w:val="ru-RU"/>
        </w:rPr>
      </w:pPr>
      <w:r w:rsidRPr="00472394">
        <w:rPr>
          <w:rFonts w:ascii="Times New Roman" w:hAnsi="Times New Roman" w:cs="Times New Roman"/>
          <w:b/>
          <w:bCs/>
          <w:lang w:val="ru-RU"/>
        </w:rPr>
        <w:t>ХІ. Порядок і строки розгляду звернень (скарг) клієнтів або потенційних клієнтів та професійних учасників фондового ринку.</w:t>
      </w:r>
    </w:p>
    <w:p w14:paraId="3024853C" w14:textId="77777777" w:rsidR="00F84879" w:rsidRPr="00472394" w:rsidRDefault="00F84879" w:rsidP="00472394">
      <w:pPr>
        <w:spacing w:line="240" w:lineRule="auto"/>
        <w:rPr>
          <w:rFonts w:ascii="Times New Roman" w:hAnsi="Times New Roman" w:cs="Times New Roman"/>
          <w:lang w:val="ru-RU"/>
        </w:rPr>
      </w:pPr>
    </w:p>
    <w:p w14:paraId="2BD65E2B" w14:textId="5EE70617" w:rsidR="00F84879" w:rsidRPr="00BD2252" w:rsidRDefault="00F84879" w:rsidP="00BD2252">
      <w:pPr>
        <w:pStyle w:val="ac"/>
        <w:rPr>
          <w:b/>
          <w:bCs/>
          <w:lang w:val="ru-RU"/>
        </w:rPr>
      </w:pPr>
      <w:r w:rsidRPr="00BD2252">
        <w:rPr>
          <w:b/>
          <w:bCs/>
          <w:lang w:val="ru-RU"/>
        </w:rPr>
        <w:t>ХІІ. Процедура запобігання несанкціонованому доступу до службової інформації. Вимоги, спрямовані на запобігання маніпулюванню цінами на ринках капіталу.</w:t>
      </w:r>
      <w:r w:rsidR="00631C23" w:rsidRPr="00BD2252">
        <w:rPr>
          <w:b/>
          <w:bCs/>
          <w:lang w:val="ru-RU"/>
        </w:rPr>
        <w:t xml:space="preserve"> </w:t>
      </w:r>
      <w:r w:rsidRPr="00BD2252">
        <w:rPr>
          <w:b/>
          <w:bCs/>
          <w:lang w:val="ru-RU"/>
        </w:rPr>
        <w:t>Порядок навчання та підвищення кваліфікації працівників Інвестиційної фірми.</w:t>
      </w:r>
    </w:p>
    <w:p w14:paraId="59E75789" w14:textId="77777777" w:rsidR="00F84879" w:rsidRPr="00472394" w:rsidRDefault="00F84879" w:rsidP="00BD2252">
      <w:pPr>
        <w:pStyle w:val="ac"/>
        <w:rPr>
          <w:lang w:val="ru-RU"/>
        </w:rPr>
      </w:pPr>
      <w:r w:rsidRPr="00472394">
        <w:rPr>
          <w:lang w:val="ru-RU"/>
        </w:rPr>
        <w:t>Глава 1. Процедура запобігання несанкціонованому доступу до службової інформації і її неправомірному використанню, у тому числі при суміщенні різних видів професійної діяльності</w:t>
      </w:r>
    </w:p>
    <w:p w14:paraId="1B15FA4A" w14:textId="77777777" w:rsidR="00F84879" w:rsidRPr="00472394" w:rsidRDefault="00F84879" w:rsidP="00BD2252">
      <w:pPr>
        <w:pStyle w:val="ac"/>
        <w:rPr>
          <w:lang w:val="ru-RU"/>
        </w:rPr>
      </w:pPr>
      <w:r w:rsidRPr="00472394">
        <w:rPr>
          <w:lang w:val="ru-RU"/>
        </w:rPr>
        <w:t>Глава 2. Вимоги, спрямовані на запобігання маніпулюванню цінами на ринках капіталу, установлені Інвестиційною фірмою.</w:t>
      </w:r>
    </w:p>
    <w:p w14:paraId="352FA25B" w14:textId="77777777" w:rsidR="00F84879" w:rsidRPr="00472394" w:rsidRDefault="00F84879" w:rsidP="00BD2252">
      <w:pPr>
        <w:pStyle w:val="ac"/>
        <w:rPr>
          <w:lang w:val="ru-RU"/>
        </w:rPr>
      </w:pPr>
      <w:r w:rsidRPr="00472394">
        <w:rPr>
          <w:lang w:val="ru-RU"/>
        </w:rPr>
        <w:t>Глава 3. Порядок навчання та підвищення кваліфікації працівників Інвестиційної фірми</w:t>
      </w:r>
    </w:p>
    <w:p w14:paraId="7F743CBE" w14:textId="6CC6A743" w:rsidR="00F84879" w:rsidRPr="00472394" w:rsidRDefault="00F84879" w:rsidP="00472394">
      <w:pPr>
        <w:spacing w:line="240" w:lineRule="auto"/>
        <w:rPr>
          <w:rFonts w:ascii="Times New Roman" w:hAnsi="Times New Roman" w:cs="Times New Roman"/>
          <w:lang w:val="ru-RU"/>
        </w:rPr>
      </w:pPr>
    </w:p>
    <w:p w14:paraId="294B545D" w14:textId="027ABFD1" w:rsidR="00F84879" w:rsidRPr="00BD2252" w:rsidRDefault="00BD2252" w:rsidP="00BD2252">
      <w:pPr>
        <w:pStyle w:val="a7"/>
        <w:numPr>
          <w:ilvl w:val="1"/>
          <w:numId w:val="9"/>
        </w:numPr>
        <w:spacing w:line="240" w:lineRule="auto"/>
        <w:ind w:left="0" w:firstLine="567"/>
        <w:rPr>
          <w:rFonts w:ascii="Times New Roman" w:hAnsi="Times New Roman" w:cs="Times New Roman"/>
          <w:lang w:val="ru-RU"/>
        </w:rPr>
      </w:pPr>
      <w:r>
        <w:rPr>
          <w:rFonts w:ascii="Times New Roman" w:hAnsi="Times New Roman" w:cs="Times New Roman"/>
          <w:lang w:val="ru-RU"/>
        </w:rPr>
        <w:t xml:space="preserve"> </w:t>
      </w:r>
      <w:r w:rsidR="00F84879" w:rsidRPr="00BD2252">
        <w:rPr>
          <w:rFonts w:ascii="Times New Roman" w:hAnsi="Times New Roman" w:cs="Times New Roman"/>
          <w:lang w:val="ru-RU"/>
        </w:rPr>
        <w:t xml:space="preserve">Кожен окремий документ, що є складовою Положення, затверджується </w:t>
      </w:r>
      <w:r w:rsidR="00631C23" w:rsidRPr="00BD2252">
        <w:rPr>
          <w:rFonts w:ascii="Times New Roman" w:hAnsi="Times New Roman" w:cs="Times New Roman"/>
          <w:lang w:val="ru-RU"/>
        </w:rPr>
        <w:t>загальними зборами засновників (учасників)</w:t>
      </w:r>
      <w:r w:rsidR="00F84879" w:rsidRPr="00BD2252">
        <w:rPr>
          <w:rFonts w:ascii="Times New Roman" w:hAnsi="Times New Roman" w:cs="Times New Roman"/>
          <w:lang w:val="ru-RU"/>
        </w:rPr>
        <w:t> </w:t>
      </w:r>
      <w:r w:rsidR="00631C23" w:rsidRPr="00BD2252">
        <w:rPr>
          <w:rFonts w:ascii="Times New Roman" w:hAnsi="Times New Roman" w:cs="Times New Roman"/>
          <w:lang w:val="ru-RU"/>
        </w:rPr>
        <w:t>Інвестиційної фірми.</w:t>
      </w:r>
    </w:p>
    <w:p w14:paraId="49F039B1" w14:textId="15FE804D" w:rsidR="00F84879" w:rsidRPr="00BD2252" w:rsidRDefault="00BD2252" w:rsidP="00BD2252">
      <w:pPr>
        <w:pStyle w:val="a7"/>
        <w:numPr>
          <w:ilvl w:val="1"/>
          <w:numId w:val="10"/>
        </w:numPr>
        <w:spacing w:line="240" w:lineRule="auto"/>
        <w:ind w:left="0" w:firstLine="567"/>
        <w:rPr>
          <w:rFonts w:ascii="Times New Roman" w:hAnsi="Times New Roman" w:cs="Times New Roman"/>
          <w:lang w:val="ru-RU"/>
        </w:rPr>
      </w:pPr>
      <w:r>
        <w:rPr>
          <w:rFonts w:ascii="Times New Roman" w:hAnsi="Times New Roman" w:cs="Times New Roman"/>
          <w:lang w:val="ru-RU"/>
        </w:rPr>
        <w:t xml:space="preserve"> </w:t>
      </w:r>
      <w:r w:rsidR="00F84879" w:rsidRPr="00BD2252">
        <w:rPr>
          <w:rFonts w:ascii="Times New Roman" w:hAnsi="Times New Roman" w:cs="Times New Roman"/>
          <w:lang w:val="ru-RU"/>
        </w:rPr>
        <w:t>Внесення змін до будь-якого документа, що є складовою Положення, не потребує внесення змін до Положення в цілому. </w:t>
      </w:r>
    </w:p>
    <w:p w14:paraId="42069895" w14:textId="775EED62" w:rsidR="00F84879" w:rsidRPr="00472394" w:rsidRDefault="00B93E4F" w:rsidP="00B93E4F">
      <w:pPr>
        <w:pStyle w:val="ac"/>
        <w:ind w:firstLine="567"/>
        <w:rPr>
          <w:lang w:val="ru-RU"/>
        </w:rPr>
      </w:pPr>
      <w:r>
        <w:rPr>
          <w:lang w:val="ru-RU"/>
        </w:rPr>
        <w:t xml:space="preserve">3.  </w:t>
      </w:r>
      <w:r w:rsidR="00F84879" w:rsidRPr="00472394">
        <w:rPr>
          <w:lang w:val="ru-RU"/>
        </w:rPr>
        <w:t>Інвестиційна фірма здійснює професійну діяльність з торгівлі фінансовими інструментами на підставі рішення Національної комісії з цінних паперів та фондового ринку про видачу ліцензій (надалі – НКЦПФР) за наступними видами:</w:t>
      </w:r>
    </w:p>
    <w:p w14:paraId="121869CB" w14:textId="77777777" w:rsidR="00F84879" w:rsidRPr="00472394" w:rsidRDefault="00F84879" w:rsidP="00BD2252">
      <w:pPr>
        <w:pStyle w:val="ac"/>
        <w:ind w:firstLine="567"/>
        <w:rPr>
          <w:lang w:val="ru-RU"/>
        </w:rPr>
      </w:pPr>
      <w:r w:rsidRPr="00472394">
        <w:rPr>
          <w:lang w:val="ru-RU"/>
        </w:rPr>
        <w:t>субброкерської діяльності,</w:t>
      </w:r>
    </w:p>
    <w:p w14:paraId="4D9F462B" w14:textId="77777777" w:rsidR="00F84879" w:rsidRPr="00472394" w:rsidRDefault="00F84879" w:rsidP="00BD2252">
      <w:pPr>
        <w:pStyle w:val="ac"/>
        <w:ind w:firstLine="567"/>
        <w:rPr>
          <w:lang w:val="ru-RU"/>
        </w:rPr>
      </w:pPr>
      <w:r w:rsidRPr="00472394">
        <w:rPr>
          <w:lang w:val="ru-RU"/>
        </w:rPr>
        <w:t>брокерської діяльності, </w:t>
      </w:r>
    </w:p>
    <w:p w14:paraId="7253CD03" w14:textId="77777777" w:rsidR="00F84879" w:rsidRPr="00472394" w:rsidRDefault="00F84879" w:rsidP="00BD2252">
      <w:pPr>
        <w:pStyle w:val="ac"/>
        <w:ind w:firstLine="567"/>
        <w:rPr>
          <w:lang w:val="ru-RU"/>
        </w:rPr>
      </w:pPr>
      <w:r w:rsidRPr="00472394">
        <w:rPr>
          <w:lang w:val="ru-RU"/>
        </w:rPr>
        <w:t>дилерської діяльності, </w:t>
      </w:r>
    </w:p>
    <w:p w14:paraId="13ECF3CA" w14:textId="77777777" w:rsidR="00F84879" w:rsidRPr="00472394" w:rsidRDefault="00F84879" w:rsidP="00BD2252">
      <w:pPr>
        <w:pStyle w:val="ac"/>
        <w:ind w:firstLine="567"/>
        <w:rPr>
          <w:lang w:val="ru-RU"/>
        </w:rPr>
      </w:pPr>
      <w:r w:rsidRPr="00472394">
        <w:rPr>
          <w:lang w:val="ru-RU"/>
        </w:rPr>
        <w:t>андеррайтингу, </w:t>
      </w:r>
    </w:p>
    <w:p w14:paraId="04513E10" w14:textId="77777777" w:rsidR="00F84879" w:rsidRPr="00472394" w:rsidRDefault="00F84879" w:rsidP="00BD2252">
      <w:pPr>
        <w:pStyle w:val="ac"/>
        <w:ind w:firstLine="567"/>
        <w:rPr>
          <w:lang w:val="ru-RU"/>
        </w:rPr>
      </w:pPr>
      <w:r w:rsidRPr="00472394">
        <w:rPr>
          <w:lang w:val="ru-RU"/>
        </w:rPr>
        <w:t>діяльність з управління портфелем фінансових інструментів;</w:t>
      </w:r>
    </w:p>
    <w:p w14:paraId="3BC6AFB3" w14:textId="77777777" w:rsidR="00F84879" w:rsidRPr="00472394" w:rsidRDefault="00F84879" w:rsidP="00BD2252">
      <w:pPr>
        <w:pStyle w:val="ac"/>
        <w:ind w:firstLine="567"/>
        <w:rPr>
          <w:lang w:val="ru-RU"/>
        </w:rPr>
      </w:pPr>
      <w:r w:rsidRPr="00472394">
        <w:rPr>
          <w:lang w:val="ru-RU"/>
        </w:rPr>
        <w:lastRenderedPageBreak/>
        <w:t>інвестиційне консультування;</w:t>
      </w:r>
    </w:p>
    <w:p w14:paraId="504F2F3B" w14:textId="77777777" w:rsidR="00F84879" w:rsidRPr="00472394" w:rsidRDefault="00F84879" w:rsidP="00BD2252">
      <w:pPr>
        <w:pStyle w:val="ac"/>
        <w:ind w:firstLine="567"/>
        <w:rPr>
          <w:lang w:val="ru-RU"/>
        </w:rPr>
      </w:pPr>
      <w:r w:rsidRPr="00472394">
        <w:rPr>
          <w:lang w:val="ru-RU"/>
        </w:rPr>
        <w:t>андеррайтинг та/або діяльність з розміщення з наданням гарантії;</w:t>
      </w:r>
    </w:p>
    <w:p w14:paraId="08D3D609" w14:textId="77777777" w:rsidR="00F84879" w:rsidRDefault="00F84879" w:rsidP="00BD2252">
      <w:pPr>
        <w:pStyle w:val="ac"/>
        <w:ind w:firstLine="567"/>
        <w:rPr>
          <w:lang w:val="ru-RU"/>
        </w:rPr>
      </w:pPr>
      <w:r w:rsidRPr="00472394">
        <w:rPr>
          <w:lang w:val="ru-RU"/>
        </w:rPr>
        <w:t>діяльність з розміщення без надання гарантії.</w:t>
      </w:r>
    </w:p>
    <w:p w14:paraId="3BFE9DB5" w14:textId="77777777" w:rsidR="00B93E4F" w:rsidRDefault="00B93E4F" w:rsidP="00B93E4F">
      <w:pPr>
        <w:spacing w:line="240" w:lineRule="auto"/>
        <w:rPr>
          <w:rFonts w:ascii="Times New Roman" w:hAnsi="Times New Roman" w:cs="Times New Roman"/>
          <w:lang w:val="ru-RU"/>
        </w:rPr>
      </w:pPr>
    </w:p>
    <w:p w14:paraId="41C6C474" w14:textId="2A9E4B04" w:rsidR="00F84879" w:rsidRPr="00B93E4F" w:rsidRDefault="00B93E4F" w:rsidP="00B93E4F">
      <w:pPr>
        <w:spacing w:line="240" w:lineRule="auto"/>
        <w:rPr>
          <w:rFonts w:ascii="Times New Roman" w:hAnsi="Times New Roman" w:cs="Times New Roman"/>
          <w:lang w:val="ru-RU"/>
        </w:rPr>
      </w:pPr>
      <w:r>
        <w:rPr>
          <w:rFonts w:ascii="Times New Roman" w:hAnsi="Times New Roman" w:cs="Times New Roman"/>
          <w:lang w:val="ru-RU"/>
        </w:rPr>
        <w:t xml:space="preserve">4. </w:t>
      </w:r>
      <w:r w:rsidR="00F84879" w:rsidRPr="00B93E4F">
        <w:rPr>
          <w:rFonts w:ascii="Times New Roman" w:hAnsi="Times New Roman" w:cs="Times New Roman"/>
          <w:lang w:val="ru-RU"/>
        </w:rPr>
        <w:t>Інвестиційна фірма здійснює професійну діяльність у відповідності до чинного законодавства України, а саме Цивільного, Господарського та Податкового кодексів, Законів України «Про господарські Інвестиційної фірми», «Про акціонерні Інвестиційної фірми», «Про ринки капіталу та організовані товарні ринки», «Про державне регулювання ринків капіталу та організованих товарних ринків», «Про фінансові послуги та фінансові компанії»,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«Про електронні документи та електронний документообіг», «Про електронні довірчі послуги»,  нормативно-правових актів Національної комісії з цінних паперів та фондового ринку (НКЦПФР), а також правил (стандартів) провадження професійної діяльності на ринках капіталу, затверджених об’єднанням/саморегулівною організацією професійних учасників ринків капіталу, членом якої є , цього Положення, інших внутрішніх документів Інвестиційної фірми.</w:t>
      </w:r>
    </w:p>
    <w:p w14:paraId="016B5DED" w14:textId="75DEBE5A" w:rsidR="00F84879" w:rsidRPr="00B93E4F" w:rsidRDefault="00B93E4F" w:rsidP="00B93E4F">
      <w:pPr>
        <w:spacing w:line="240" w:lineRule="auto"/>
        <w:rPr>
          <w:rFonts w:ascii="Times New Roman" w:hAnsi="Times New Roman" w:cs="Times New Roman"/>
          <w:lang w:val="ru-RU"/>
        </w:rPr>
      </w:pPr>
      <w:r>
        <w:rPr>
          <w:rFonts w:ascii="Times New Roman" w:hAnsi="Times New Roman" w:cs="Times New Roman"/>
          <w:lang w:val="ru-RU"/>
        </w:rPr>
        <w:t xml:space="preserve">5. </w:t>
      </w:r>
      <w:r w:rsidR="00F84879" w:rsidRPr="00B93E4F">
        <w:rPr>
          <w:rFonts w:ascii="Times New Roman" w:hAnsi="Times New Roman" w:cs="Times New Roman"/>
          <w:lang w:val="ru-RU"/>
        </w:rPr>
        <w:t>У разі внесення змін до законодавства, правил (стандартів) провадження професійної діяльності на ринках капіталу, затверджених об’єднанням/саморегулівною організацією професійних учасників ринків капіталу, членом якої є, це Положення діє в частині, що не суперечить вказаним змінам.</w:t>
      </w:r>
    </w:p>
    <w:p w14:paraId="0EFF0107" w14:textId="18D35FC0" w:rsidR="00F84879" w:rsidRPr="00472394" w:rsidRDefault="00B93E4F" w:rsidP="00B93E4F">
      <w:pPr>
        <w:spacing w:line="240" w:lineRule="auto"/>
        <w:rPr>
          <w:rFonts w:ascii="Times New Roman" w:hAnsi="Times New Roman" w:cs="Times New Roman"/>
          <w:lang w:val="ru-RU"/>
        </w:rPr>
      </w:pPr>
      <w:r>
        <w:rPr>
          <w:rFonts w:ascii="Times New Roman" w:hAnsi="Times New Roman" w:cs="Times New Roman"/>
          <w:lang w:val="ru-RU"/>
        </w:rPr>
        <w:t xml:space="preserve">6. </w:t>
      </w:r>
      <w:r w:rsidR="00F84879" w:rsidRPr="00472394">
        <w:rPr>
          <w:rFonts w:ascii="Times New Roman" w:hAnsi="Times New Roman" w:cs="Times New Roman"/>
          <w:lang w:val="ru-RU"/>
        </w:rPr>
        <w:t>У Положенні наведені нижче терміни вживаються у такому значенні:</w:t>
      </w:r>
    </w:p>
    <w:p w14:paraId="67D7184C" w14:textId="77777777" w:rsidR="00F84879" w:rsidRPr="00472394" w:rsidRDefault="00F84879" w:rsidP="00472394">
      <w:pPr>
        <w:spacing w:line="240" w:lineRule="auto"/>
        <w:rPr>
          <w:rFonts w:ascii="Times New Roman" w:hAnsi="Times New Roman" w:cs="Times New Roman"/>
          <w:lang w:val="ru-RU"/>
        </w:rPr>
      </w:pPr>
      <w:r w:rsidRPr="00B93E4F">
        <w:rPr>
          <w:rFonts w:ascii="Times New Roman" w:hAnsi="Times New Roman" w:cs="Times New Roman"/>
          <w:b/>
          <w:bCs/>
          <w:i/>
          <w:iCs/>
          <w:u w:val="single"/>
          <w:lang w:val="ru-RU"/>
        </w:rPr>
        <w:t>андеррайтинг</w:t>
      </w:r>
      <w:r w:rsidRPr="00B93E4F">
        <w:rPr>
          <w:rFonts w:ascii="Times New Roman" w:hAnsi="Times New Roman" w:cs="Times New Roman"/>
          <w:lang w:val="ru-RU"/>
        </w:rPr>
        <w:t xml:space="preserve"> - це діяльність, яка провадиться Інвестиційною фірмою від свого імені та/або від імені емітента або оферента за винагороду відповідно до умов договору андерайтингу;</w:t>
      </w:r>
    </w:p>
    <w:p w14:paraId="41CC0E23" w14:textId="77777777" w:rsidR="00F84879" w:rsidRPr="00472394" w:rsidRDefault="00F84879" w:rsidP="00472394">
      <w:pPr>
        <w:spacing w:line="240" w:lineRule="auto"/>
        <w:rPr>
          <w:rFonts w:ascii="Times New Roman" w:hAnsi="Times New Roman" w:cs="Times New Roman"/>
          <w:lang w:val="ru-RU"/>
        </w:rPr>
      </w:pPr>
      <w:r w:rsidRPr="00472394">
        <w:rPr>
          <w:rFonts w:ascii="Times New Roman" w:hAnsi="Times New Roman" w:cs="Times New Roman"/>
          <w:b/>
          <w:bCs/>
          <w:i/>
          <w:iCs/>
          <w:u w:val="single"/>
          <w:lang w:val="ru-RU"/>
        </w:rPr>
        <w:t>близькі особи</w:t>
      </w:r>
      <w:r w:rsidRPr="00472394">
        <w:rPr>
          <w:rFonts w:ascii="Times New Roman" w:hAnsi="Times New Roman" w:cs="Times New Roman"/>
          <w:lang w:val="ru-RU"/>
        </w:rPr>
        <w:t xml:space="preserve"> - чоловік, дружина, батько, мати, вітчим, мачуха, син, дочка, пасинок, падчерка, рідний брат, рідна сестра, дід, баба, прадід, прабаба, внук, внучка, правнук, правнучка, усиновлювач чи усиновлений, опікун чи піклувальник, особа, яка перебуває під опікою або піклуванням, а також особи, які спільно проживають, пов'язані спільним побутом і мають взаємні права та обов'язки, в тому числі особи, які спільно проживають, але не перебувають у шлюбі;</w:t>
      </w:r>
    </w:p>
    <w:p w14:paraId="4C4733E0" w14:textId="77777777" w:rsidR="00F84879" w:rsidRPr="00472394" w:rsidRDefault="00F84879" w:rsidP="00472394">
      <w:pPr>
        <w:spacing w:line="240" w:lineRule="auto"/>
        <w:rPr>
          <w:rFonts w:ascii="Times New Roman" w:hAnsi="Times New Roman" w:cs="Times New Roman"/>
          <w:lang w:val="ru-RU"/>
        </w:rPr>
      </w:pPr>
      <w:r w:rsidRPr="00472394">
        <w:rPr>
          <w:rFonts w:ascii="Times New Roman" w:hAnsi="Times New Roman" w:cs="Times New Roman"/>
          <w:b/>
          <w:bCs/>
          <w:i/>
          <w:iCs/>
          <w:u w:val="single"/>
          <w:lang w:val="ru-RU"/>
        </w:rPr>
        <w:t>брокерська діяльність</w:t>
      </w:r>
      <w:r w:rsidRPr="00472394">
        <w:rPr>
          <w:rFonts w:ascii="Times New Roman" w:hAnsi="Times New Roman" w:cs="Times New Roman"/>
          <w:lang w:val="ru-RU"/>
        </w:rPr>
        <w:t xml:space="preserve"> - це діяльність інвестиційної фірми з укладення деривативних контрактів та вчинення правочинів щодо фінансових інструментів за рахунок та від імені клієнтів або за рахунок клієнтів, але від свого імені;</w:t>
      </w:r>
    </w:p>
    <w:p w14:paraId="629DE613" w14:textId="77777777" w:rsidR="00F84879" w:rsidRPr="00472394" w:rsidRDefault="00F84879" w:rsidP="00472394">
      <w:pPr>
        <w:spacing w:line="240" w:lineRule="auto"/>
        <w:rPr>
          <w:rFonts w:ascii="Times New Roman" w:hAnsi="Times New Roman" w:cs="Times New Roman"/>
          <w:lang w:val="ru-RU"/>
        </w:rPr>
      </w:pPr>
      <w:r w:rsidRPr="00472394">
        <w:rPr>
          <w:rFonts w:ascii="Times New Roman" w:hAnsi="Times New Roman" w:cs="Times New Roman"/>
          <w:b/>
          <w:bCs/>
          <w:i/>
          <w:iCs/>
          <w:u w:val="single"/>
          <w:lang w:val="ru-RU"/>
        </w:rPr>
        <w:t>безперервність надання послуг</w:t>
      </w:r>
      <w:r w:rsidRPr="00472394">
        <w:rPr>
          <w:rFonts w:ascii="Times New Roman" w:hAnsi="Times New Roman" w:cs="Times New Roman"/>
          <w:lang w:val="ru-RU"/>
        </w:rPr>
        <w:t xml:space="preserve"> – це здатність інвестиційної фірми реалізовувати визначені нею бізнес-процеси у встановленому графіку роботи;</w:t>
      </w:r>
    </w:p>
    <w:p w14:paraId="5E904E9A" w14:textId="77777777" w:rsidR="00F84879" w:rsidRPr="00472394" w:rsidRDefault="00F84879" w:rsidP="00472394">
      <w:pPr>
        <w:spacing w:line="240" w:lineRule="auto"/>
        <w:rPr>
          <w:rFonts w:ascii="Times New Roman" w:hAnsi="Times New Roman" w:cs="Times New Roman"/>
          <w:lang w:val="ru-RU"/>
        </w:rPr>
      </w:pPr>
      <w:r w:rsidRPr="00472394">
        <w:rPr>
          <w:rFonts w:ascii="Times New Roman" w:hAnsi="Times New Roman" w:cs="Times New Roman"/>
          <w:b/>
          <w:bCs/>
          <w:i/>
          <w:iCs/>
          <w:u w:val="single"/>
          <w:lang w:val="ru-RU"/>
        </w:rPr>
        <w:t>внутрішній облік</w:t>
      </w:r>
      <w:r w:rsidRPr="00472394">
        <w:rPr>
          <w:rFonts w:ascii="Times New Roman" w:hAnsi="Times New Roman" w:cs="Times New Roman"/>
          <w:lang w:val="ru-RU"/>
        </w:rPr>
        <w:t xml:space="preserve"> - це упорядкована система збору, узагальнення та відображення інформації в грошовому та кількісному вираженні про всі правочини, операції з цінними паперами та іншими фінансовими інструментами, грошовими коштами, які здійснює інвестиційна фірма, у тому числі операції, не пов'язані з купівлею-продажем цінних паперів та інших фінансових інструментів, шляхом цілісного, неперервного і документального їх обліку, а також обліку пов'язаних з ними прав та зобов'язань;</w:t>
      </w:r>
    </w:p>
    <w:p w14:paraId="612452C5" w14:textId="77777777" w:rsidR="00F84879" w:rsidRPr="00472394" w:rsidRDefault="00F84879" w:rsidP="00472394">
      <w:pPr>
        <w:spacing w:line="240" w:lineRule="auto"/>
        <w:rPr>
          <w:rFonts w:ascii="Times New Roman" w:hAnsi="Times New Roman" w:cs="Times New Roman"/>
          <w:lang w:val="ru-RU"/>
        </w:rPr>
      </w:pPr>
      <w:r w:rsidRPr="00472394">
        <w:rPr>
          <w:rFonts w:ascii="Times New Roman" w:hAnsi="Times New Roman" w:cs="Times New Roman"/>
          <w:b/>
          <w:bCs/>
          <w:i/>
          <w:iCs/>
          <w:u w:val="single"/>
          <w:lang w:val="ru-RU"/>
        </w:rPr>
        <w:t xml:space="preserve">генеральний договір </w:t>
      </w:r>
      <w:r w:rsidRPr="00472394">
        <w:rPr>
          <w:rFonts w:ascii="Times New Roman" w:hAnsi="Times New Roman" w:cs="Times New Roman"/>
          <w:lang w:val="ru-RU"/>
        </w:rPr>
        <w:t>- договір, укладений між Інвестиційною фірмою та фізичною або юридичною особою (юридичною особою - нерезидентом), з метою надання інвестиційних послуг та/або здійснення дій чи надання послуг, пов’язаних з такими послугами;</w:t>
      </w:r>
    </w:p>
    <w:p w14:paraId="49882DD3" w14:textId="77777777" w:rsidR="00F84879" w:rsidRPr="00472394" w:rsidRDefault="00F84879" w:rsidP="00472394">
      <w:pPr>
        <w:spacing w:line="240" w:lineRule="auto"/>
        <w:rPr>
          <w:rFonts w:ascii="Times New Roman" w:hAnsi="Times New Roman" w:cs="Times New Roman"/>
          <w:lang w:val="ru-RU"/>
        </w:rPr>
      </w:pPr>
      <w:r w:rsidRPr="00472394">
        <w:rPr>
          <w:rFonts w:ascii="Times New Roman" w:hAnsi="Times New Roman" w:cs="Times New Roman"/>
          <w:b/>
          <w:bCs/>
          <w:i/>
          <w:iCs/>
          <w:u w:val="single"/>
          <w:lang w:val="ru-RU"/>
        </w:rPr>
        <w:t>дата укладання договору</w:t>
      </w:r>
      <w:r w:rsidRPr="00472394">
        <w:rPr>
          <w:rFonts w:ascii="Times New Roman" w:hAnsi="Times New Roman" w:cs="Times New Roman"/>
          <w:lang w:val="ru-RU"/>
        </w:rPr>
        <w:t xml:space="preserve"> – дата досягнення сторонами згоди щодо всіх істотних умов договору та підписання відповідного договору щодо операцій з цінними паперами та/ або іншими фінансовими інструментами; </w:t>
      </w:r>
    </w:p>
    <w:p w14:paraId="0852E4D4" w14:textId="77777777" w:rsidR="00F84879" w:rsidRPr="00472394" w:rsidRDefault="00F84879" w:rsidP="00472394">
      <w:pPr>
        <w:spacing w:line="240" w:lineRule="auto"/>
        <w:rPr>
          <w:rFonts w:ascii="Times New Roman" w:hAnsi="Times New Roman" w:cs="Times New Roman"/>
          <w:lang w:val="ru-RU"/>
        </w:rPr>
      </w:pPr>
      <w:r w:rsidRPr="00472394">
        <w:rPr>
          <w:rFonts w:ascii="Times New Roman" w:hAnsi="Times New Roman" w:cs="Times New Roman"/>
          <w:b/>
          <w:bCs/>
          <w:i/>
          <w:iCs/>
          <w:u w:val="single"/>
          <w:lang w:val="ru-RU"/>
        </w:rPr>
        <w:t>дата виконання договору</w:t>
      </w:r>
      <w:r w:rsidRPr="00472394">
        <w:rPr>
          <w:rFonts w:ascii="Times New Roman" w:hAnsi="Times New Roman" w:cs="Times New Roman"/>
          <w:lang w:val="ru-RU"/>
        </w:rPr>
        <w:t xml:space="preserve"> - дата підписання документа, який підтверджує виконання сторонами зобов'язань, що передбачені договором, та/або дата настання останньої з наступних подій, які можуть відбуватися у будь-якій послідовності: перехід права власності на цінні папери або інші фінансові інструменти, що є об`єктами цивільних прав за договором, або здійснення оплати за договором, якщо сторони не домовилися про інше;</w:t>
      </w:r>
    </w:p>
    <w:p w14:paraId="6F213F14" w14:textId="77777777" w:rsidR="00F84879" w:rsidRPr="00472394" w:rsidRDefault="00F84879" w:rsidP="00472394">
      <w:pPr>
        <w:spacing w:line="240" w:lineRule="auto"/>
        <w:rPr>
          <w:rFonts w:ascii="Times New Roman" w:hAnsi="Times New Roman" w:cs="Times New Roman"/>
          <w:lang w:val="ru-RU"/>
        </w:rPr>
      </w:pPr>
      <w:r w:rsidRPr="00472394">
        <w:rPr>
          <w:rFonts w:ascii="Times New Roman" w:hAnsi="Times New Roman" w:cs="Times New Roman"/>
          <w:b/>
          <w:bCs/>
          <w:i/>
          <w:iCs/>
          <w:u w:val="single"/>
          <w:lang w:val="ru-RU"/>
        </w:rPr>
        <w:t>дилерська діяльність</w:t>
      </w:r>
      <w:r w:rsidRPr="00472394">
        <w:rPr>
          <w:rFonts w:ascii="Times New Roman" w:hAnsi="Times New Roman" w:cs="Times New Roman"/>
          <w:lang w:val="ru-RU"/>
        </w:rPr>
        <w:t xml:space="preserve"> - це діяльність інвестиційної фірми з укладення деривативних контрактів та вчинення правочинів щодо фінансових інструментів від свого імені та за власний рахунок;</w:t>
      </w:r>
    </w:p>
    <w:p w14:paraId="697DC698" w14:textId="77777777" w:rsidR="00F84879" w:rsidRPr="00472394" w:rsidRDefault="00F84879" w:rsidP="00472394">
      <w:pPr>
        <w:spacing w:line="240" w:lineRule="auto"/>
        <w:rPr>
          <w:rFonts w:ascii="Times New Roman" w:hAnsi="Times New Roman" w:cs="Times New Roman"/>
          <w:lang w:val="ru-RU"/>
        </w:rPr>
      </w:pPr>
      <w:r w:rsidRPr="00472394">
        <w:rPr>
          <w:rFonts w:ascii="Times New Roman" w:hAnsi="Times New Roman" w:cs="Times New Roman"/>
          <w:b/>
          <w:bCs/>
          <w:i/>
          <w:iCs/>
          <w:u w:val="single"/>
          <w:lang w:val="ru-RU"/>
        </w:rPr>
        <w:lastRenderedPageBreak/>
        <w:t>дилерський договір</w:t>
      </w:r>
      <w:r w:rsidRPr="00472394">
        <w:rPr>
          <w:rFonts w:ascii="Times New Roman" w:hAnsi="Times New Roman" w:cs="Times New Roman"/>
          <w:lang w:val="ru-RU"/>
        </w:rPr>
        <w:t xml:space="preserve"> - договір купівлі-продажу (міни) цінних паперів або інших фінансових інструментів, що укладається Інвестиційною фірмою від свого імені та за свій рахунок; </w:t>
      </w:r>
    </w:p>
    <w:p w14:paraId="19389774" w14:textId="77777777" w:rsidR="00F84879" w:rsidRPr="00472394" w:rsidRDefault="00F84879" w:rsidP="00472394">
      <w:pPr>
        <w:spacing w:line="240" w:lineRule="auto"/>
        <w:rPr>
          <w:rFonts w:ascii="Times New Roman" w:hAnsi="Times New Roman" w:cs="Times New Roman"/>
          <w:lang w:val="ru-RU"/>
        </w:rPr>
      </w:pPr>
      <w:r w:rsidRPr="00472394">
        <w:rPr>
          <w:rFonts w:ascii="Times New Roman" w:hAnsi="Times New Roman" w:cs="Times New Roman"/>
          <w:b/>
          <w:bCs/>
          <w:i/>
          <w:iCs/>
          <w:u w:val="single"/>
          <w:lang w:val="ru-RU"/>
        </w:rPr>
        <w:t>діяльність з розміщення з наданням гарантії</w:t>
      </w:r>
      <w:r w:rsidRPr="00472394">
        <w:rPr>
          <w:rFonts w:ascii="Times New Roman" w:hAnsi="Times New Roman" w:cs="Times New Roman"/>
          <w:lang w:val="ru-RU"/>
        </w:rPr>
        <w:t xml:space="preserve"> - це діяльність, яка провадиться інвестиційною фірмою від свого імені відповідно до умов договору про організацію розміщення з гарантією, за умовами якого  зобов’язується на умовах та в строки, визначені проспектом цінних паперів, від свого імені і за власний рахунок здійснити купівлю всіх цінних паперів емітента або оферента, що пропонується відчужити;</w:t>
      </w:r>
    </w:p>
    <w:p w14:paraId="2B16F5A3" w14:textId="77777777" w:rsidR="00F84879" w:rsidRPr="00472394" w:rsidRDefault="00F84879" w:rsidP="00472394">
      <w:pPr>
        <w:spacing w:line="240" w:lineRule="auto"/>
        <w:rPr>
          <w:rFonts w:ascii="Times New Roman" w:hAnsi="Times New Roman" w:cs="Times New Roman"/>
          <w:lang w:val="ru-RU"/>
        </w:rPr>
      </w:pPr>
      <w:r w:rsidRPr="00472394">
        <w:rPr>
          <w:rFonts w:ascii="Times New Roman" w:hAnsi="Times New Roman" w:cs="Times New Roman"/>
          <w:b/>
          <w:bCs/>
          <w:i/>
          <w:iCs/>
          <w:u w:val="single"/>
          <w:lang w:val="ru-RU"/>
        </w:rPr>
        <w:t>діяльність з розміщення без надання гарантії</w:t>
      </w:r>
      <w:r w:rsidRPr="00472394">
        <w:rPr>
          <w:rFonts w:ascii="Times New Roman" w:hAnsi="Times New Roman" w:cs="Times New Roman"/>
          <w:lang w:val="ru-RU"/>
        </w:rPr>
        <w:t xml:space="preserve"> - це діяльність, яка провадиться інвестиційною фірмою від імені емітента або оферента відповідно до умов договору про організацію розміщення, за умовами якого інвестиційна фірма зобов’язується на умовах та в строки, визначені проспектом цінних паперів, діючи від імені емітента або оферента, організувати розміщення заздалегідь обумовленого обсягу цінних паперів емітента або оферента;</w:t>
      </w:r>
    </w:p>
    <w:p w14:paraId="2ADA4668" w14:textId="77777777" w:rsidR="00F84879" w:rsidRPr="00472394" w:rsidRDefault="00F84879" w:rsidP="00472394">
      <w:pPr>
        <w:spacing w:line="240" w:lineRule="auto"/>
        <w:rPr>
          <w:rFonts w:ascii="Times New Roman" w:hAnsi="Times New Roman" w:cs="Times New Roman"/>
          <w:lang w:val="ru-RU"/>
        </w:rPr>
      </w:pPr>
      <w:r w:rsidRPr="00B93E4F">
        <w:rPr>
          <w:rFonts w:ascii="Times New Roman" w:hAnsi="Times New Roman" w:cs="Times New Roman"/>
          <w:b/>
          <w:bCs/>
          <w:i/>
          <w:iCs/>
          <w:u w:val="single"/>
          <w:lang w:val="ru-RU"/>
        </w:rPr>
        <w:t>діяльність з управління портфелем фінансових інструментів</w:t>
      </w:r>
      <w:r w:rsidRPr="00B93E4F">
        <w:rPr>
          <w:rFonts w:ascii="Times New Roman" w:hAnsi="Times New Roman" w:cs="Times New Roman"/>
          <w:lang w:val="ru-RU"/>
        </w:rPr>
        <w:t xml:space="preserve"> - це діяльність інвестиційної фірми з управління портфелями фінансових інструментів, які складаються з одного або більше фінансових інструментів, в інтересах клієнтів;</w:t>
      </w:r>
    </w:p>
    <w:p w14:paraId="12CBD59B" w14:textId="77777777" w:rsidR="00F84879" w:rsidRPr="00472394" w:rsidRDefault="00F84879" w:rsidP="00472394">
      <w:pPr>
        <w:spacing w:line="240" w:lineRule="auto"/>
        <w:rPr>
          <w:rFonts w:ascii="Times New Roman" w:hAnsi="Times New Roman" w:cs="Times New Roman"/>
          <w:lang w:val="ru-RU"/>
        </w:rPr>
      </w:pPr>
      <w:r w:rsidRPr="00B93E4F">
        <w:rPr>
          <w:rFonts w:ascii="Times New Roman" w:hAnsi="Times New Roman" w:cs="Times New Roman"/>
          <w:b/>
          <w:bCs/>
          <w:i/>
          <w:iCs/>
          <w:u w:val="single"/>
          <w:lang w:val="ru-RU"/>
        </w:rPr>
        <w:t>договір андеррайтингу</w:t>
      </w:r>
      <w:r w:rsidRPr="00B93E4F">
        <w:rPr>
          <w:rFonts w:ascii="Times New Roman" w:hAnsi="Times New Roman" w:cs="Times New Roman"/>
          <w:lang w:val="ru-RU"/>
        </w:rPr>
        <w:t xml:space="preserve"> – договір за яким, інвестиційна фірма зобов’язується на умовах та в строки, визначені проспектом фінансових інструментів, діючи від імені емітента або оферента, організувати розміщення заздалегідь обумовленого обсягу фінансових інструментів емітента або оферента та від свого імені і за власний рахунок здійснити купівлю фінансових інструментів, які станом на кінець передбаченого проспектом фінансових інструментів строку розміщення не були відчужені першим власникам.</w:t>
      </w:r>
    </w:p>
    <w:p w14:paraId="30CE5C46" w14:textId="77777777" w:rsidR="00F84879" w:rsidRPr="00472394" w:rsidRDefault="00F84879" w:rsidP="00472394">
      <w:pPr>
        <w:spacing w:line="240" w:lineRule="auto"/>
        <w:rPr>
          <w:rFonts w:ascii="Times New Roman" w:hAnsi="Times New Roman" w:cs="Times New Roman"/>
          <w:lang w:val="ru-RU"/>
        </w:rPr>
      </w:pPr>
      <w:r w:rsidRPr="00472394">
        <w:rPr>
          <w:rFonts w:ascii="Times New Roman" w:hAnsi="Times New Roman" w:cs="Times New Roman"/>
          <w:b/>
          <w:bCs/>
          <w:i/>
          <w:iCs/>
          <w:u w:val="single"/>
          <w:lang w:val="ru-RU"/>
        </w:rPr>
        <w:t>договір доручення</w:t>
      </w:r>
      <w:r w:rsidRPr="00472394">
        <w:rPr>
          <w:rFonts w:ascii="Times New Roman" w:hAnsi="Times New Roman" w:cs="Times New Roman"/>
          <w:lang w:val="ru-RU"/>
        </w:rPr>
        <w:t xml:space="preserve"> - договір, за яким одна сторона (повірений - Інвестиційна фірма) зобов'язується вчинити щодо цінних паперів або інших фінансових інструментів від імені та за рахунок другої сторони (довірителя) певні юридичні дії; </w:t>
      </w:r>
    </w:p>
    <w:p w14:paraId="77B6AF69" w14:textId="77777777" w:rsidR="00F84879" w:rsidRPr="00472394" w:rsidRDefault="00F84879" w:rsidP="00472394">
      <w:pPr>
        <w:spacing w:line="240" w:lineRule="auto"/>
        <w:rPr>
          <w:rFonts w:ascii="Times New Roman" w:hAnsi="Times New Roman" w:cs="Times New Roman"/>
          <w:lang w:val="ru-RU"/>
        </w:rPr>
      </w:pPr>
      <w:r w:rsidRPr="00472394">
        <w:rPr>
          <w:rFonts w:ascii="Times New Roman" w:hAnsi="Times New Roman" w:cs="Times New Roman"/>
          <w:b/>
          <w:bCs/>
          <w:i/>
          <w:iCs/>
          <w:u w:val="single"/>
          <w:lang w:val="ru-RU"/>
        </w:rPr>
        <w:t>договір комісії</w:t>
      </w:r>
      <w:r w:rsidRPr="00472394">
        <w:rPr>
          <w:rFonts w:ascii="Times New Roman" w:hAnsi="Times New Roman" w:cs="Times New Roman"/>
          <w:lang w:val="ru-RU"/>
        </w:rPr>
        <w:t xml:space="preserve"> - договір, за яким одна сторона (комісіонер – Інвестиційна фірма) зобов'язується за дорученням другої сторони (комітента) за плату вчинити один або декілька правочинів щодо цінних паперів та/ або інших фінансових інструментів від свого імені за рахунок комітента; </w:t>
      </w:r>
    </w:p>
    <w:p w14:paraId="36744203" w14:textId="77777777" w:rsidR="00F84879" w:rsidRPr="00472394" w:rsidRDefault="00F84879" w:rsidP="00472394">
      <w:pPr>
        <w:spacing w:line="240" w:lineRule="auto"/>
        <w:rPr>
          <w:rFonts w:ascii="Times New Roman" w:hAnsi="Times New Roman" w:cs="Times New Roman"/>
          <w:lang w:val="ru-RU"/>
        </w:rPr>
      </w:pPr>
      <w:r w:rsidRPr="00472394">
        <w:rPr>
          <w:rFonts w:ascii="Times New Roman" w:hAnsi="Times New Roman" w:cs="Times New Roman"/>
          <w:b/>
          <w:bCs/>
          <w:i/>
          <w:iCs/>
          <w:u w:val="single"/>
          <w:lang w:val="ru-RU"/>
        </w:rPr>
        <w:t xml:space="preserve">договір купівлі-продажу (міни) </w:t>
      </w:r>
      <w:r w:rsidRPr="00472394">
        <w:rPr>
          <w:rFonts w:ascii="Times New Roman" w:hAnsi="Times New Roman" w:cs="Times New Roman"/>
          <w:lang w:val="ru-RU"/>
        </w:rPr>
        <w:t>– договір, за яким Інвестиційна фірма здійснює купівлю, продаж, міну фінансових інструментів в інтересах клієнта та за його рахунок, в інтересах та за рахунок клієнта номінального утримувача/клієнта клієнта номінального утримувача відповідно до умов укладеного з клієнтом договору комісії, договору доручення або наданого клієнтом замовлення до генерального договору;</w:t>
      </w:r>
    </w:p>
    <w:p w14:paraId="2515321A" w14:textId="77777777" w:rsidR="00F84879" w:rsidRPr="00472394" w:rsidRDefault="00F84879" w:rsidP="00472394">
      <w:pPr>
        <w:spacing w:line="240" w:lineRule="auto"/>
        <w:rPr>
          <w:rFonts w:ascii="Times New Roman" w:hAnsi="Times New Roman" w:cs="Times New Roman"/>
          <w:lang w:val="ru-RU"/>
        </w:rPr>
      </w:pPr>
      <w:r w:rsidRPr="00472394">
        <w:rPr>
          <w:rFonts w:ascii="Times New Roman" w:hAnsi="Times New Roman" w:cs="Times New Roman"/>
          <w:b/>
          <w:bCs/>
          <w:i/>
          <w:iCs/>
          <w:u w:val="single"/>
          <w:lang w:val="ru-RU"/>
        </w:rPr>
        <w:t>договір на виконання</w:t>
      </w:r>
      <w:r w:rsidRPr="00472394">
        <w:rPr>
          <w:rFonts w:ascii="Times New Roman" w:hAnsi="Times New Roman" w:cs="Times New Roman"/>
          <w:lang w:val="ru-RU"/>
        </w:rPr>
        <w:t>  - договір купівлі-продажу (міни) цінних паперів або інших фінансових інструментів, який укладається Інвестиційною фірмою (комісіонером, повіреним)  з третьою особою (контрагентом) на виконання умов договору комісії, договору доручення, укладеним між Інвестиційною фірмою та його клієнтом, або замовлення клієнта до генерального договору; </w:t>
      </w:r>
    </w:p>
    <w:p w14:paraId="392FCE16" w14:textId="77777777" w:rsidR="00F84879" w:rsidRPr="00472394" w:rsidRDefault="00F84879" w:rsidP="00472394">
      <w:pPr>
        <w:spacing w:line="240" w:lineRule="auto"/>
        <w:rPr>
          <w:rFonts w:ascii="Times New Roman" w:hAnsi="Times New Roman" w:cs="Times New Roman"/>
          <w:lang w:val="ru-RU"/>
        </w:rPr>
      </w:pPr>
      <w:r w:rsidRPr="00472394">
        <w:rPr>
          <w:rFonts w:ascii="Times New Roman" w:hAnsi="Times New Roman" w:cs="Times New Roman"/>
          <w:b/>
          <w:bCs/>
          <w:i/>
          <w:iCs/>
          <w:u w:val="single"/>
          <w:lang w:val="ru-RU"/>
        </w:rPr>
        <w:t>договір позики</w:t>
      </w:r>
      <w:r w:rsidRPr="00472394">
        <w:rPr>
          <w:rFonts w:ascii="Times New Roman" w:hAnsi="Times New Roman" w:cs="Times New Roman"/>
          <w:lang w:val="ru-RU"/>
        </w:rPr>
        <w:t xml:space="preserve"> – договір, за яким Інвестиційна фірма здійснює у власних інтересах або в інтересах та за рахунок клієнта або в інтересах та за рахунок клієнта номінального утримувача/клієнта клієнта номінального утримувача операцій з передання у власність іншій стороні (позичальнику) або отримання у власність від іншої сторони певної кількості фінансових інструментів з відповідними реквізитами ідентифікації з обов’язком їх повернення через визначений строк або на вимогу однієї із сторін;</w:t>
      </w:r>
    </w:p>
    <w:p w14:paraId="7A01F622" w14:textId="77777777" w:rsidR="00F84879" w:rsidRPr="00472394" w:rsidRDefault="00F84879" w:rsidP="00472394">
      <w:pPr>
        <w:spacing w:line="240" w:lineRule="auto"/>
        <w:rPr>
          <w:rFonts w:ascii="Times New Roman" w:hAnsi="Times New Roman" w:cs="Times New Roman"/>
          <w:lang w:val="ru-RU"/>
        </w:rPr>
      </w:pPr>
      <w:r w:rsidRPr="00B93E4F">
        <w:rPr>
          <w:rFonts w:ascii="Times New Roman" w:hAnsi="Times New Roman" w:cs="Times New Roman"/>
          <w:b/>
          <w:bCs/>
          <w:i/>
          <w:iCs/>
          <w:u w:val="single"/>
          <w:lang w:val="ru-RU"/>
        </w:rPr>
        <w:t>договір про спільну діяльність</w:t>
      </w:r>
      <w:r w:rsidRPr="00B93E4F">
        <w:rPr>
          <w:rFonts w:ascii="Times New Roman" w:hAnsi="Times New Roman" w:cs="Times New Roman"/>
          <w:lang w:val="ru-RU"/>
        </w:rPr>
        <w:t xml:space="preserve"> - двосторонній або багатосторонній договір, що укладається між андеррайтерами з метою організації розміщення фінансових інструментів;</w:t>
      </w:r>
    </w:p>
    <w:p w14:paraId="384C75E1" w14:textId="77777777" w:rsidR="00F84879" w:rsidRPr="00472394" w:rsidRDefault="00F84879" w:rsidP="00472394">
      <w:pPr>
        <w:spacing w:line="240" w:lineRule="auto"/>
        <w:rPr>
          <w:rFonts w:ascii="Times New Roman" w:hAnsi="Times New Roman" w:cs="Times New Roman"/>
          <w:lang w:val="ru-RU"/>
        </w:rPr>
      </w:pPr>
      <w:r w:rsidRPr="00472394">
        <w:rPr>
          <w:rFonts w:ascii="Times New Roman" w:hAnsi="Times New Roman" w:cs="Times New Roman"/>
          <w:b/>
          <w:bCs/>
          <w:i/>
          <w:iCs/>
          <w:u w:val="single"/>
          <w:lang w:val="ru-RU"/>
        </w:rPr>
        <w:t>договір про управління фінансовими інструментами та грошовими коштами</w:t>
      </w:r>
      <w:r w:rsidRPr="00472394">
        <w:rPr>
          <w:rFonts w:ascii="Times New Roman" w:hAnsi="Times New Roman" w:cs="Times New Roman"/>
          <w:lang w:val="ru-RU"/>
        </w:rPr>
        <w:t xml:space="preserve">, </w:t>
      </w:r>
      <w:r w:rsidRPr="00472394">
        <w:rPr>
          <w:rFonts w:ascii="Times New Roman" w:hAnsi="Times New Roman" w:cs="Times New Roman"/>
          <w:b/>
          <w:bCs/>
          <w:i/>
          <w:iCs/>
          <w:u w:val="single"/>
          <w:lang w:val="ru-RU"/>
        </w:rPr>
        <w:t>призначеними для інвестування у фінансові інструменти</w:t>
      </w:r>
      <w:r w:rsidRPr="00472394">
        <w:rPr>
          <w:rFonts w:ascii="Times New Roman" w:hAnsi="Times New Roman" w:cs="Times New Roman"/>
          <w:lang w:val="ru-RU"/>
        </w:rPr>
        <w:t xml:space="preserve"> (далі - договір про управління), - договір, за яким одна сторона (установник управління) передає другій стороні (управителеві) на певний строк об'єкт (об'єкти) управління в інтересах установника управління або визначених ним третіх осіб за винагороду;</w:t>
      </w:r>
    </w:p>
    <w:p w14:paraId="68531892" w14:textId="77777777" w:rsidR="00F84879" w:rsidRPr="00472394" w:rsidRDefault="00F84879" w:rsidP="00472394">
      <w:pPr>
        <w:spacing w:line="240" w:lineRule="auto"/>
        <w:rPr>
          <w:rFonts w:ascii="Times New Roman" w:hAnsi="Times New Roman" w:cs="Times New Roman"/>
          <w:lang w:val="ru-RU"/>
        </w:rPr>
      </w:pPr>
      <w:r w:rsidRPr="00472394">
        <w:rPr>
          <w:rFonts w:ascii="Times New Roman" w:hAnsi="Times New Roman" w:cs="Times New Roman"/>
          <w:b/>
          <w:bCs/>
          <w:i/>
          <w:iCs/>
          <w:u w:val="single"/>
          <w:lang w:val="ru-RU"/>
        </w:rPr>
        <w:t>замовлення клієнта</w:t>
      </w:r>
      <w:r w:rsidRPr="00472394">
        <w:rPr>
          <w:rFonts w:ascii="Times New Roman" w:hAnsi="Times New Roman" w:cs="Times New Roman"/>
          <w:lang w:val="ru-RU"/>
        </w:rPr>
        <w:t xml:space="preserve"> - доручення (розпорядження, наказ) клієнта торговцю на встановлених клієнтом умовах надати певного виду інвестиційну послугу з визначеними фінансовими інструментами на підставі генерального договору;</w:t>
      </w:r>
    </w:p>
    <w:p w14:paraId="56E27F17" w14:textId="77777777" w:rsidR="00F84879" w:rsidRPr="00472394" w:rsidRDefault="00F84879" w:rsidP="00472394">
      <w:pPr>
        <w:spacing w:line="240" w:lineRule="auto"/>
        <w:rPr>
          <w:rFonts w:ascii="Times New Roman" w:hAnsi="Times New Roman" w:cs="Times New Roman"/>
          <w:lang w:val="ru-RU"/>
        </w:rPr>
      </w:pPr>
      <w:r w:rsidRPr="00472394">
        <w:rPr>
          <w:rFonts w:ascii="Times New Roman" w:hAnsi="Times New Roman" w:cs="Times New Roman"/>
          <w:b/>
          <w:bCs/>
          <w:i/>
          <w:iCs/>
          <w:u w:val="single"/>
          <w:lang w:val="ru-RU"/>
        </w:rPr>
        <w:lastRenderedPageBreak/>
        <w:t>здійснення контролю</w:t>
      </w:r>
      <w:r w:rsidRPr="00472394">
        <w:rPr>
          <w:rFonts w:ascii="Times New Roman" w:hAnsi="Times New Roman" w:cs="Times New Roman"/>
          <w:lang w:val="ru-RU"/>
        </w:rPr>
        <w:t xml:space="preserve"> - вирішальний вплив або можливість здійснення вирішального впливу на господарську діяльність Інвестиційної фірми, що здійснюється, зокрема, шляхом реалізації права володіння або користування всіма його активами чи їх значною частиною, права вирішального впливу на формування складу, результати голосування та прийняття рішення органами управління Інвестиційної фірми,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Інвестиційної фірми;  </w:t>
      </w:r>
    </w:p>
    <w:p w14:paraId="4A327E54" w14:textId="77777777" w:rsidR="00F84879" w:rsidRPr="00472394" w:rsidRDefault="00F84879" w:rsidP="00472394">
      <w:pPr>
        <w:spacing w:line="240" w:lineRule="auto"/>
        <w:rPr>
          <w:rFonts w:ascii="Times New Roman" w:hAnsi="Times New Roman" w:cs="Times New Roman"/>
          <w:lang w:val="ru-RU"/>
        </w:rPr>
      </w:pPr>
      <w:r w:rsidRPr="00472394">
        <w:rPr>
          <w:rFonts w:ascii="Times New Roman" w:hAnsi="Times New Roman" w:cs="Times New Roman"/>
          <w:b/>
          <w:bCs/>
          <w:i/>
          <w:iCs/>
          <w:u w:val="single"/>
          <w:lang w:val="ru-RU"/>
        </w:rPr>
        <w:t>інвестиційне консультування</w:t>
      </w:r>
      <w:r w:rsidRPr="00472394">
        <w:rPr>
          <w:rFonts w:ascii="Times New Roman" w:hAnsi="Times New Roman" w:cs="Times New Roman"/>
          <w:lang w:val="ru-RU"/>
        </w:rPr>
        <w:t xml:space="preserve"> - це діяльність Інвестиційної фірми з надання індивідуальних рекомендацій клієнту на його вимогу або з ініціативи Інвестиційної фірми щодо укладення деривативних контрактів, договорів про заміну сторони деривативного контракту, вчинення правочинів щодо фінансових інструментів та валютних цінностей;</w:t>
      </w:r>
    </w:p>
    <w:p w14:paraId="0E2548B7" w14:textId="77777777" w:rsidR="00F84879" w:rsidRPr="00472394" w:rsidRDefault="00F84879" w:rsidP="00472394">
      <w:pPr>
        <w:spacing w:line="240" w:lineRule="auto"/>
        <w:rPr>
          <w:rFonts w:ascii="Times New Roman" w:hAnsi="Times New Roman" w:cs="Times New Roman"/>
          <w:lang w:val="ru-RU"/>
        </w:rPr>
      </w:pPr>
      <w:r w:rsidRPr="00472394">
        <w:rPr>
          <w:rFonts w:ascii="Times New Roman" w:hAnsi="Times New Roman" w:cs="Times New Roman"/>
          <w:b/>
          <w:bCs/>
          <w:i/>
          <w:iCs/>
          <w:u w:val="single"/>
          <w:lang w:val="ru-RU"/>
        </w:rPr>
        <w:t>істотні умови договору</w:t>
      </w:r>
      <w:r w:rsidRPr="00472394">
        <w:rPr>
          <w:rFonts w:ascii="Times New Roman" w:hAnsi="Times New Roman" w:cs="Times New Roman"/>
          <w:lang w:val="ru-RU"/>
        </w:rPr>
        <w:t xml:space="preserve"> – істотними умовами договорів, що укладаються Інвестиційною фірмою із клієнтами, контрагентами, іншими інвестиційними фірмами, є умови про предмет договору, умови, що визначені чинним законодавством як істотні (обов’язкові) для договорів певного виду, а також усі ті умови, щодо яких за заявою хоча б однієї зі сторін сторонами було досягнуто згоди;   </w:t>
      </w:r>
    </w:p>
    <w:p w14:paraId="4763530C" w14:textId="77777777" w:rsidR="00F84879" w:rsidRPr="00472394" w:rsidRDefault="00F84879" w:rsidP="00472394">
      <w:pPr>
        <w:spacing w:line="240" w:lineRule="auto"/>
        <w:rPr>
          <w:rFonts w:ascii="Times New Roman" w:hAnsi="Times New Roman" w:cs="Times New Roman"/>
          <w:lang w:val="ru-RU"/>
        </w:rPr>
      </w:pPr>
      <w:r w:rsidRPr="00472394">
        <w:rPr>
          <w:rFonts w:ascii="Times New Roman" w:hAnsi="Times New Roman" w:cs="Times New Roman"/>
          <w:b/>
          <w:bCs/>
          <w:i/>
          <w:iCs/>
          <w:u w:val="single"/>
          <w:lang w:val="ru-RU"/>
        </w:rPr>
        <w:t>клієнт</w:t>
      </w:r>
      <w:r w:rsidRPr="00472394">
        <w:rPr>
          <w:rFonts w:ascii="Times New Roman" w:hAnsi="Times New Roman" w:cs="Times New Roman"/>
          <w:b/>
          <w:bCs/>
          <w:lang w:val="ru-RU"/>
        </w:rPr>
        <w:t xml:space="preserve"> </w:t>
      </w:r>
      <w:r w:rsidRPr="00472394">
        <w:rPr>
          <w:rFonts w:ascii="Times New Roman" w:hAnsi="Times New Roman" w:cs="Times New Roman"/>
          <w:lang w:val="ru-RU"/>
        </w:rPr>
        <w:t>- особа, в інтересах та за рахунок якої діє Інвестиційна фірма на підставі відповідного договору, у порядку, передбаченому чинним законодавством;</w:t>
      </w:r>
    </w:p>
    <w:p w14:paraId="4875C089" w14:textId="77777777" w:rsidR="00F84879" w:rsidRPr="00472394" w:rsidRDefault="00F84879" w:rsidP="00472394">
      <w:pPr>
        <w:spacing w:line="240" w:lineRule="auto"/>
        <w:rPr>
          <w:rFonts w:ascii="Times New Roman" w:hAnsi="Times New Roman" w:cs="Times New Roman"/>
          <w:lang w:val="ru-RU"/>
        </w:rPr>
      </w:pPr>
      <w:r w:rsidRPr="00472394">
        <w:rPr>
          <w:rFonts w:ascii="Times New Roman" w:hAnsi="Times New Roman" w:cs="Times New Roman"/>
          <w:b/>
          <w:bCs/>
          <w:i/>
          <w:iCs/>
          <w:u w:val="single"/>
          <w:lang w:val="ru-RU"/>
        </w:rPr>
        <w:t xml:space="preserve">контрагент </w:t>
      </w:r>
      <w:r w:rsidRPr="00472394">
        <w:rPr>
          <w:rFonts w:ascii="Times New Roman" w:hAnsi="Times New Roman" w:cs="Times New Roman"/>
          <w:lang w:val="ru-RU"/>
        </w:rPr>
        <w:t>- особа, що укладає з Інвестиційною фірмою договір купівлі-продажу (міни) цінних паперів або інших фінансових інструментів; </w:t>
      </w:r>
    </w:p>
    <w:p w14:paraId="6868250E" w14:textId="77777777" w:rsidR="00F84879" w:rsidRPr="00472394" w:rsidRDefault="00F84879" w:rsidP="00472394">
      <w:pPr>
        <w:spacing w:line="240" w:lineRule="auto"/>
        <w:rPr>
          <w:rFonts w:ascii="Times New Roman" w:hAnsi="Times New Roman" w:cs="Times New Roman"/>
          <w:lang w:val="ru-RU"/>
        </w:rPr>
      </w:pPr>
      <w:r w:rsidRPr="00472394">
        <w:rPr>
          <w:rFonts w:ascii="Times New Roman" w:hAnsi="Times New Roman" w:cs="Times New Roman"/>
          <w:b/>
          <w:bCs/>
          <w:i/>
          <w:iCs/>
          <w:u w:val="single"/>
          <w:lang w:val="ru-RU"/>
        </w:rPr>
        <w:t>конфлікт інтересів</w:t>
      </w:r>
      <w:r w:rsidRPr="00472394">
        <w:rPr>
          <w:rFonts w:ascii="Times New Roman" w:hAnsi="Times New Roman" w:cs="Times New Roman"/>
          <w:lang w:val="ru-RU"/>
        </w:rPr>
        <w:t xml:space="preserve"> - суперечність між особистими майновими, немайновими інтересами особи чи близьких їй осіб та її службовими повноваженнями, наявність якої може вплинути на об'єктивність або неупередженість прийняття рішень, а також на вчинення чи невчинення дій під час виконання наданих їй службових повноважень;</w:t>
      </w:r>
    </w:p>
    <w:p w14:paraId="7E626964" w14:textId="77777777" w:rsidR="00F84879" w:rsidRPr="00472394" w:rsidRDefault="00F84879" w:rsidP="00472394">
      <w:pPr>
        <w:spacing w:line="240" w:lineRule="auto"/>
        <w:rPr>
          <w:rFonts w:ascii="Times New Roman" w:hAnsi="Times New Roman" w:cs="Times New Roman"/>
          <w:lang w:val="ru-RU"/>
        </w:rPr>
      </w:pPr>
      <w:r w:rsidRPr="00472394">
        <w:rPr>
          <w:rFonts w:ascii="Times New Roman" w:hAnsi="Times New Roman" w:cs="Times New Roman"/>
          <w:b/>
          <w:bCs/>
          <w:i/>
          <w:iCs/>
          <w:u w:val="single"/>
          <w:lang w:val="ru-RU"/>
        </w:rPr>
        <w:t xml:space="preserve">об’єкти інвестування </w:t>
      </w:r>
      <w:r w:rsidRPr="00472394">
        <w:rPr>
          <w:rFonts w:ascii="Times New Roman" w:hAnsi="Times New Roman" w:cs="Times New Roman"/>
          <w:lang w:val="ru-RU"/>
        </w:rPr>
        <w:t>- фінансові інструменти;</w:t>
      </w:r>
    </w:p>
    <w:p w14:paraId="20722355" w14:textId="77777777" w:rsidR="00F84879" w:rsidRPr="00472394" w:rsidRDefault="00F84879" w:rsidP="00472394">
      <w:pPr>
        <w:spacing w:line="240" w:lineRule="auto"/>
        <w:rPr>
          <w:rFonts w:ascii="Times New Roman" w:hAnsi="Times New Roman" w:cs="Times New Roman"/>
          <w:lang w:val="ru-RU"/>
        </w:rPr>
      </w:pPr>
      <w:r w:rsidRPr="00472394">
        <w:rPr>
          <w:rFonts w:ascii="Times New Roman" w:hAnsi="Times New Roman" w:cs="Times New Roman"/>
          <w:b/>
          <w:bCs/>
          <w:i/>
          <w:iCs/>
          <w:u w:val="single"/>
          <w:lang w:val="ru-RU"/>
        </w:rPr>
        <w:t xml:space="preserve">об’єкти управління </w:t>
      </w:r>
      <w:r w:rsidRPr="00472394">
        <w:rPr>
          <w:rFonts w:ascii="Times New Roman" w:hAnsi="Times New Roman" w:cs="Times New Roman"/>
          <w:lang w:val="ru-RU"/>
        </w:rPr>
        <w:t>- цінні папери, інші фінансові інструменти та кошти, призначені для інвестування в цінні папери та інші фінансові інструменти, передані в управління при укладанні договору про управління, а також цінні папери, інші фінансові інструменти та кошти, набуті установником управління у зв’язку з виконанням управителем договору про управління;</w:t>
      </w:r>
    </w:p>
    <w:p w14:paraId="55C22D0C" w14:textId="77777777" w:rsidR="00F84879" w:rsidRPr="00472394" w:rsidRDefault="00F84879" w:rsidP="00472394">
      <w:pPr>
        <w:spacing w:line="240" w:lineRule="auto"/>
        <w:rPr>
          <w:rFonts w:ascii="Times New Roman" w:hAnsi="Times New Roman" w:cs="Times New Roman"/>
          <w:lang w:val="ru-RU"/>
        </w:rPr>
      </w:pPr>
      <w:r w:rsidRPr="00B93E4F">
        <w:rPr>
          <w:rFonts w:ascii="Times New Roman" w:hAnsi="Times New Roman" w:cs="Times New Roman"/>
          <w:b/>
          <w:bCs/>
          <w:i/>
          <w:iCs/>
          <w:u w:val="single"/>
          <w:lang w:val="ru-RU"/>
        </w:rPr>
        <w:t>операція РЕПО</w:t>
      </w:r>
      <w:r w:rsidRPr="00B93E4F">
        <w:rPr>
          <w:rFonts w:ascii="Times New Roman" w:hAnsi="Times New Roman" w:cs="Times New Roman"/>
          <w:lang w:val="ru-RU"/>
        </w:rPr>
        <w:t xml:space="preserve"> - операція купівлі (продажу) цінних паперів із зобов'язанням зворотного їх продажу (купівлі) через визначений строк за заздалегідь обумовленою ціною, що здійснюється на основі єдиного договору РЕПО;</w:t>
      </w:r>
    </w:p>
    <w:p w14:paraId="154715E8" w14:textId="77777777" w:rsidR="00F84879" w:rsidRPr="00472394" w:rsidRDefault="00F84879" w:rsidP="00472394">
      <w:pPr>
        <w:spacing w:line="240" w:lineRule="auto"/>
        <w:rPr>
          <w:rFonts w:ascii="Times New Roman" w:hAnsi="Times New Roman" w:cs="Times New Roman"/>
          <w:lang w:val="ru-RU"/>
        </w:rPr>
      </w:pPr>
      <w:r w:rsidRPr="00472394">
        <w:rPr>
          <w:rFonts w:ascii="Times New Roman" w:hAnsi="Times New Roman" w:cs="Times New Roman"/>
          <w:b/>
          <w:bCs/>
          <w:i/>
          <w:iCs/>
          <w:u w:val="single"/>
          <w:lang w:val="ru-RU"/>
        </w:rPr>
        <w:t>пов'язана особа</w:t>
      </w:r>
      <w:r w:rsidRPr="00472394">
        <w:rPr>
          <w:rFonts w:ascii="Times New Roman" w:hAnsi="Times New Roman" w:cs="Times New Roman"/>
          <w:lang w:val="ru-RU"/>
        </w:rPr>
        <w:t xml:space="preserve"> в розумінні чинного законодавства це:</w:t>
      </w:r>
    </w:p>
    <w:p w14:paraId="63201203" w14:textId="77777777" w:rsidR="00F84879" w:rsidRPr="00472394" w:rsidRDefault="00F84879" w:rsidP="00472394">
      <w:pPr>
        <w:numPr>
          <w:ilvl w:val="0"/>
          <w:numId w:val="8"/>
        </w:numPr>
        <w:spacing w:line="240" w:lineRule="auto"/>
        <w:rPr>
          <w:rFonts w:ascii="Times New Roman" w:hAnsi="Times New Roman" w:cs="Times New Roman"/>
          <w:u w:val="single"/>
          <w:lang w:val="ru-RU"/>
        </w:rPr>
      </w:pPr>
      <w:r w:rsidRPr="00472394">
        <w:rPr>
          <w:rFonts w:ascii="Times New Roman" w:hAnsi="Times New Roman" w:cs="Times New Roman"/>
          <w:u w:val="single"/>
          <w:lang w:val="ru-RU"/>
        </w:rPr>
        <w:t>юридична особа</w:t>
      </w:r>
      <w:r w:rsidRPr="00472394">
        <w:rPr>
          <w:rFonts w:ascii="Times New Roman" w:hAnsi="Times New Roman" w:cs="Times New Roman"/>
          <w:lang w:val="ru-RU"/>
        </w:rPr>
        <w:t>, яка здійснює контроль за відповідною юридичною особою або контролюється відповідною юридичною особою, або перебуває під спільним контролем з такою юридичною особою;</w:t>
      </w:r>
    </w:p>
    <w:p w14:paraId="605FE7C9" w14:textId="77777777" w:rsidR="00F84879" w:rsidRPr="00472394" w:rsidRDefault="00F84879" w:rsidP="00472394">
      <w:pPr>
        <w:numPr>
          <w:ilvl w:val="0"/>
          <w:numId w:val="8"/>
        </w:numPr>
        <w:spacing w:line="240" w:lineRule="auto"/>
        <w:rPr>
          <w:rFonts w:ascii="Times New Roman" w:hAnsi="Times New Roman" w:cs="Times New Roman"/>
          <w:u w:val="single"/>
          <w:lang w:val="ru-RU"/>
        </w:rPr>
      </w:pPr>
      <w:r w:rsidRPr="00472394">
        <w:rPr>
          <w:rFonts w:ascii="Times New Roman" w:hAnsi="Times New Roman" w:cs="Times New Roman"/>
          <w:u w:val="single"/>
          <w:lang w:val="ru-RU"/>
        </w:rPr>
        <w:t>фізична особа або члени її сім'ї</w:t>
      </w:r>
      <w:r w:rsidRPr="00472394">
        <w:rPr>
          <w:rFonts w:ascii="Times New Roman" w:hAnsi="Times New Roman" w:cs="Times New Roman"/>
          <w:lang w:val="ru-RU"/>
        </w:rPr>
        <w:t>, які здійснюють контроль за відповідною юридичною особою. Членами сім'ї фізичної особи вважаються її чоловік або дружина, прямі родичі (діти або батьки) фізичної особи, її чоловіка або дружини, а також чоловік або дружина будь-якого прямого родича фізичної особи;</w:t>
      </w:r>
    </w:p>
    <w:p w14:paraId="5A4BFD08" w14:textId="77777777" w:rsidR="00F84879" w:rsidRPr="00472394" w:rsidRDefault="00F84879" w:rsidP="00472394">
      <w:pPr>
        <w:numPr>
          <w:ilvl w:val="0"/>
          <w:numId w:val="8"/>
        </w:numPr>
        <w:spacing w:line="240" w:lineRule="auto"/>
        <w:rPr>
          <w:rFonts w:ascii="Times New Roman" w:hAnsi="Times New Roman" w:cs="Times New Roman"/>
          <w:u w:val="single"/>
          <w:lang w:val="ru-RU"/>
        </w:rPr>
      </w:pPr>
      <w:r w:rsidRPr="00472394">
        <w:rPr>
          <w:rFonts w:ascii="Times New Roman" w:hAnsi="Times New Roman" w:cs="Times New Roman"/>
          <w:u w:val="single"/>
          <w:lang w:val="ru-RU"/>
        </w:rPr>
        <w:t>посадова особа відповідної юридичної особи</w:t>
      </w:r>
      <w:r w:rsidRPr="00472394">
        <w:rPr>
          <w:rFonts w:ascii="Times New Roman" w:hAnsi="Times New Roman" w:cs="Times New Roman"/>
          <w:lang w:val="ru-RU"/>
        </w:rPr>
        <w:t>, уповноважена провадити від її імені юридичні дії, спрямовані на встановлення, зміну або припинення правових відносин, а також члени сім'ї такої особи. Членами сім’ї такої посадової особи є її чоловік або дружина, прямі родичі (діти або батьки) посадової особи, її чоловіка або дружини, а також чоловік або дружина будь-якого прямого родича фізичної особи;</w:t>
      </w:r>
    </w:p>
    <w:p w14:paraId="30371524" w14:textId="77777777" w:rsidR="00F84879" w:rsidRPr="00472394" w:rsidRDefault="00F84879" w:rsidP="00472394">
      <w:pPr>
        <w:spacing w:line="240" w:lineRule="auto"/>
        <w:rPr>
          <w:rFonts w:ascii="Times New Roman" w:hAnsi="Times New Roman" w:cs="Times New Roman"/>
          <w:lang w:val="ru-RU"/>
        </w:rPr>
      </w:pPr>
      <w:r w:rsidRPr="00472394">
        <w:rPr>
          <w:rFonts w:ascii="Times New Roman" w:hAnsi="Times New Roman" w:cs="Times New Roman"/>
          <w:b/>
          <w:bCs/>
          <w:i/>
          <w:iCs/>
          <w:u w:val="single"/>
          <w:lang w:val="ru-RU"/>
        </w:rPr>
        <w:t>реквізити ідентифікації договору</w:t>
      </w:r>
      <w:r w:rsidRPr="00472394">
        <w:rPr>
          <w:rFonts w:ascii="Times New Roman" w:hAnsi="Times New Roman" w:cs="Times New Roman"/>
          <w:lang w:val="ru-RU"/>
        </w:rPr>
        <w:t xml:space="preserve"> - дата та місце укладання договору, вид та номер договору за нумерацією, яка здійснюється у встановленому Інвестиційною фірмою порядку відповідно до вимог чинного законодавства;</w:t>
      </w:r>
    </w:p>
    <w:p w14:paraId="4C32DBDF" w14:textId="77777777" w:rsidR="00F84879" w:rsidRPr="00472394" w:rsidRDefault="00F84879" w:rsidP="00472394">
      <w:pPr>
        <w:spacing w:line="240" w:lineRule="auto"/>
        <w:rPr>
          <w:rFonts w:ascii="Times New Roman" w:hAnsi="Times New Roman" w:cs="Times New Roman"/>
          <w:lang w:val="ru-RU"/>
        </w:rPr>
      </w:pPr>
      <w:r w:rsidRPr="00472394">
        <w:rPr>
          <w:rFonts w:ascii="Times New Roman" w:hAnsi="Times New Roman" w:cs="Times New Roman"/>
          <w:b/>
          <w:bCs/>
          <w:i/>
          <w:iCs/>
          <w:u w:val="single"/>
          <w:lang w:val="ru-RU"/>
        </w:rPr>
        <w:lastRenderedPageBreak/>
        <w:t>строкові операції</w:t>
      </w:r>
      <w:r w:rsidRPr="00472394">
        <w:rPr>
          <w:rFonts w:ascii="Times New Roman" w:hAnsi="Times New Roman" w:cs="Times New Roman"/>
          <w:lang w:val="ru-RU"/>
        </w:rPr>
        <w:t xml:space="preserve"> – правочини з набуття, зміни або припинення прав та зобов’язань за ф’ючерсними контрактами, форвардними контрактами, опціонами та свопами, що здійснюються Інвестиційними фірмами відповідно до вимог законодавства;</w:t>
      </w:r>
    </w:p>
    <w:p w14:paraId="5629D307" w14:textId="77777777" w:rsidR="00F84879" w:rsidRPr="00472394" w:rsidRDefault="00F84879" w:rsidP="00472394">
      <w:pPr>
        <w:spacing w:line="240" w:lineRule="auto"/>
        <w:rPr>
          <w:rFonts w:ascii="Times New Roman" w:hAnsi="Times New Roman" w:cs="Times New Roman"/>
          <w:lang w:val="ru-RU"/>
        </w:rPr>
      </w:pPr>
      <w:r w:rsidRPr="00472394">
        <w:rPr>
          <w:rFonts w:ascii="Times New Roman" w:hAnsi="Times New Roman" w:cs="Times New Roman"/>
          <w:b/>
          <w:bCs/>
          <w:i/>
          <w:iCs/>
          <w:u w:val="single"/>
          <w:lang w:val="ru-RU"/>
        </w:rPr>
        <w:t>субброкерська діяльність</w:t>
      </w:r>
      <w:r w:rsidRPr="00472394">
        <w:rPr>
          <w:rFonts w:ascii="Times New Roman" w:hAnsi="Times New Roman" w:cs="Times New Roman"/>
          <w:lang w:val="ru-RU"/>
        </w:rPr>
        <w:t xml:space="preserve"> - це діяльність Інвестиційної фірми з прийняття від клієнтів замовлень на укладення деривативних контрактів та вчинення правочинів щодо фінансових інструментів за рахунок клієнтів і надання відповідних замовлень для виконання іншій інвестиційній фірмі, яка здійснює брокерську діяльність;</w:t>
      </w:r>
    </w:p>
    <w:p w14:paraId="1D91854B" w14:textId="77777777" w:rsidR="00F84879" w:rsidRPr="00472394" w:rsidRDefault="00F84879" w:rsidP="00472394">
      <w:pPr>
        <w:spacing w:line="240" w:lineRule="auto"/>
        <w:rPr>
          <w:rFonts w:ascii="Times New Roman" w:hAnsi="Times New Roman" w:cs="Times New Roman"/>
          <w:lang w:val="ru-RU"/>
        </w:rPr>
      </w:pPr>
      <w:r w:rsidRPr="00472394">
        <w:rPr>
          <w:rFonts w:ascii="Times New Roman" w:hAnsi="Times New Roman" w:cs="Times New Roman"/>
          <w:b/>
          <w:bCs/>
          <w:i/>
          <w:iCs/>
          <w:u w:val="single"/>
          <w:lang w:val="ru-RU"/>
        </w:rPr>
        <w:t xml:space="preserve">управитель </w:t>
      </w:r>
      <w:r w:rsidRPr="00472394">
        <w:rPr>
          <w:rFonts w:ascii="Times New Roman" w:hAnsi="Times New Roman" w:cs="Times New Roman"/>
          <w:lang w:val="ru-RU"/>
        </w:rPr>
        <w:t>- Інвестиційна фірма, який в установленому законодавством порядку отримав ліцензію на провадження професійної діяльності на фондовому ринку - діяльності з торгівлі цінними паперами, а саме діяльності з управління цінними паперами, та яким укладено договір про управління з установником управління;</w:t>
      </w:r>
    </w:p>
    <w:p w14:paraId="72B3483D" w14:textId="77777777" w:rsidR="00F84879" w:rsidRPr="00472394" w:rsidRDefault="00F84879" w:rsidP="00472394">
      <w:pPr>
        <w:spacing w:line="240" w:lineRule="auto"/>
        <w:rPr>
          <w:rFonts w:ascii="Times New Roman" w:hAnsi="Times New Roman" w:cs="Times New Roman"/>
          <w:lang w:val="ru-RU"/>
        </w:rPr>
      </w:pPr>
      <w:r w:rsidRPr="00472394">
        <w:rPr>
          <w:rFonts w:ascii="Times New Roman" w:hAnsi="Times New Roman" w:cs="Times New Roman"/>
          <w:b/>
          <w:bCs/>
          <w:i/>
          <w:iCs/>
          <w:u w:val="single"/>
          <w:lang w:val="ru-RU"/>
        </w:rPr>
        <w:t xml:space="preserve">установник </w:t>
      </w:r>
      <w:r w:rsidRPr="00472394">
        <w:rPr>
          <w:rFonts w:ascii="Times New Roman" w:hAnsi="Times New Roman" w:cs="Times New Roman"/>
          <w:lang w:val="ru-RU"/>
        </w:rPr>
        <w:t>управління - власник (клієнт), який передає управителю в управління об’єкт (об’єкти) управління;</w:t>
      </w:r>
    </w:p>
    <w:p w14:paraId="62E73CA0" w14:textId="77777777" w:rsidR="00F84879" w:rsidRPr="00472394" w:rsidRDefault="00F84879" w:rsidP="00472394">
      <w:pPr>
        <w:spacing w:line="240" w:lineRule="auto"/>
        <w:rPr>
          <w:rFonts w:ascii="Times New Roman" w:hAnsi="Times New Roman" w:cs="Times New Roman"/>
          <w:lang w:val="ru-RU"/>
        </w:rPr>
      </w:pPr>
      <w:r w:rsidRPr="00472394">
        <w:rPr>
          <w:rFonts w:ascii="Times New Roman" w:hAnsi="Times New Roman" w:cs="Times New Roman"/>
          <w:b/>
          <w:bCs/>
          <w:i/>
          <w:iCs/>
          <w:u w:val="single"/>
          <w:lang w:val="ru-RU"/>
        </w:rPr>
        <w:t>фактори ризику</w:t>
      </w:r>
      <w:r w:rsidRPr="00472394">
        <w:rPr>
          <w:rFonts w:ascii="Times New Roman" w:hAnsi="Times New Roman" w:cs="Times New Roman"/>
          <w:lang w:val="ru-RU"/>
        </w:rPr>
        <w:t xml:space="preserve"> - обставини, які можуть призвести до часткової або повної втрати коштів клієнта, у тому числі за рахунок зниження вартості цінних паперів та/ або інших фінансових інструментів;</w:t>
      </w:r>
    </w:p>
    <w:p w14:paraId="5C0DB8B0" w14:textId="77777777" w:rsidR="00F84879" w:rsidRPr="00472394" w:rsidRDefault="00F84879" w:rsidP="00472394">
      <w:pPr>
        <w:spacing w:line="240" w:lineRule="auto"/>
        <w:rPr>
          <w:rFonts w:ascii="Times New Roman" w:hAnsi="Times New Roman" w:cs="Times New Roman"/>
          <w:lang w:val="ru-RU"/>
        </w:rPr>
      </w:pPr>
      <w:r w:rsidRPr="00472394">
        <w:rPr>
          <w:rFonts w:ascii="Times New Roman" w:hAnsi="Times New Roman" w:cs="Times New Roman"/>
          <w:b/>
          <w:bCs/>
          <w:i/>
          <w:iCs/>
          <w:u w:val="single"/>
          <w:lang w:val="ru-RU"/>
        </w:rPr>
        <w:t>НКЦПФР</w:t>
      </w:r>
      <w:r w:rsidRPr="00472394">
        <w:rPr>
          <w:rFonts w:ascii="Times New Roman" w:hAnsi="Times New Roman" w:cs="Times New Roman"/>
          <w:lang w:val="ru-RU"/>
        </w:rPr>
        <w:t xml:space="preserve"> – Національна комісія з цінних паперів та фондового ринку, регулятор.</w:t>
      </w:r>
    </w:p>
    <w:p w14:paraId="15732DBA" w14:textId="77777777" w:rsidR="00F84879" w:rsidRPr="00472394" w:rsidRDefault="00F84879" w:rsidP="00472394">
      <w:pPr>
        <w:spacing w:line="240" w:lineRule="auto"/>
        <w:rPr>
          <w:rFonts w:ascii="Times New Roman" w:hAnsi="Times New Roman" w:cs="Times New Roman"/>
          <w:lang w:val="ru-RU"/>
        </w:rPr>
      </w:pPr>
      <w:r w:rsidRPr="00472394">
        <w:rPr>
          <w:rFonts w:ascii="Times New Roman" w:hAnsi="Times New Roman" w:cs="Times New Roman"/>
          <w:lang w:val="ru-RU"/>
        </w:rPr>
        <w:t>8. Інші терміни, визначення яких не наведене у даному розділі вживаються у Положенні відповідно до чинного законодавства.</w:t>
      </w:r>
    </w:p>
    <w:bookmarkEnd w:id="0"/>
    <w:p w14:paraId="3162BCBB" w14:textId="77777777" w:rsidR="000C07A8" w:rsidRPr="00472394" w:rsidRDefault="000C07A8" w:rsidP="00472394">
      <w:pPr>
        <w:spacing w:line="240" w:lineRule="auto"/>
        <w:rPr>
          <w:rFonts w:ascii="Times New Roman" w:hAnsi="Times New Roman" w:cs="Times New Roman"/>
          <w:lang w:val="ru-RU"/>
        </w:rPr>
      </w:pPr>
    </w:p>
    <w:sectPr w:rsidR="000C07A8" w:rsidRPr="00472394" w:rsidSect="002A020F">
      <w:footerReference w:type="default" r:id="rId7"/>
      <w:pgSz w:w="12240" w:h="15840"/>
      <w:pgMar w:top="851" w:right="758" w:bottom="709" w:left="1134" w:header="708" w:footer="1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E900F" w14:textId="77777777" w:rsidR="001F371D" w:rsidRDefault="001F371D" w:rsidP="002A020F">
      <w:pPr>
        <w:spacing w:after="0" w:line="240" w:lineRule="auto"/>
      </w:pPr>
      <w:r>
        <w:separator/>
      </w:r>
    </w:p>
  </w:endnote>
  <w:endnote w:type="continuationSeparator" w:id="0">
    <w:p w14:paraId="335A2585" w14:textId="77777777" w:rsidR="001F371D" w:rsidRDefault="001F371D" w:rsidP="002A0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1102018"/>
      <w:docPartObj>
        <w:docPartGallery w:val="Page Numbers (Bottom of Page)"/>
        <w:docPartUnique/>
      </w:docPartObj>
    </w:sdtPr>
    <w:sdtContent>
      <w:p w14:paraId="728CFBD1" w14:textId="1BA55760" w:rsidR="002A020F" w:rsidRDefault="002A020F">
        <w:pPr>
          <w:pStyle w:val="af"/>
          <w:jc w:val="right"/>
        </w:pPr>
        <w:r>
          <w:fldChar w:fldCharType="begin"/>
        </w:r>
        <w:r>
          <w:instrText>PAGE   \* MERGEFORMAT</w:instrText>
        </w:r>
        <w:r>
          <w:fldChar w:fldCharType="separate"/>
        </w:r>
        <w:r>
          <w:rPr>
            <w:lang w:val="ru-RU"/>
          </w:rPr>
          <w:t>2</w:t>
        </w:r>
        <w:r>
          <w:fldChar w:fldCharType="end"/>
        </w:r>
      </w:p>
    </w:sdtContent>
  </w:sdt>
  <w:p w14:paraId="72040B32" w14:textId="77777777" w:rsidR="002A020F" w:rsidRDefault="002A020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06D47" w14:textId="77777777" w:rsidR="001F371D" w:rsidRDefault="001F371D" w:rsidP="002A020F">
      <w:pPr>
        <w:spacing w:after="0" w:line="240" w:lineRule="auto"/>
      </w:pPr>
      <w:r>
        <w:separator/>
      </w:r>
    </w:p>
  </w:footnote>
  <w:footnote w:type="continuationSeparator" w:id="0">
    <w:p w14:paraId="3812460F" w14:textId="77777777" w:rsidR="001F371D" w:rsidRDefault="001F371D" w:rsidP="002A02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31F58"/>
    <w:multiLevelType w:val="multilevel"/>
    <w:tmpl w:val="3DCC3F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6FD7769"/>
    <w:multiLevelType w:val="multilevel"/>
    <w:tmpl w:val="A18287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873590"/>
    <w:multiLevelType w:val="multilevel"/>
    <w:tmpl w:val="0E0C4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6A2E02"/>
    <w:multiLevelType w:val="multilevel"/>
    <w:tmpl w:val="841247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48F438F"/>
    <w:multiLevelType w:val="multilevel"/>
    <w:tmpl w:val="EC5AFF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3808D8"/>
    <w:multiLevelType w:val="multilevel"/>
    <w:tmpl w:val="1188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C57FCB"/>
    <w:multiLevelType w:val="hybridMultilevel"/>
    <w:tmpl w:val="26B8E20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3B64B4A"/>
    <w:multiLevelType w:val="multilevel"/>
    <w:tmpl w:val="2D6E3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3E179A"/>
    <w:multiLevelType w:val="multilevel"/>
    <w:tmpl w:val="5A32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3896311">
    <w:abstractNumId w:val="2"/>
  </w:num>
  <w:num w:numId="2" w16cid:durableId="340936999">
    <w:abstractNumId w:val="7"/>
  </w:num>
  <w:num w:numId="3" w16cid:durableId="538201565">
    <w:abstractNumId w:val="1"/>
    <w:lvlOverride w:ilvl="0">
      <w:lvl w:ilvl="0">
        <w:numFmt w:val="decimal"/>
        <w:lvlText w:val="%1."/>
        <w:lvlJc w:val="left"/>
      </w:lvl>
    </w:lvlOverride>
  </w:num>
  <w:num w:numId="4" w16cid:durableId="1457526570">
    <w:abstractNumId w:val="5"/>
  </w:num>
  <w:num w:numId="5" w16cid:durableId="379598730">
    <w:abstractNumId w:val="4"/>
    <w:lvlOverride w:ilvl="0">
      <w:lvl w:ilvl="0">
        <w:numFmt w:val="decimal"/>
        <w:lvlText w:val="%1."/>
        <w:lvlJc w:val="left"/>
      </w:lvl>
    </w:lvlOverride>
  </w:num>
  <w:num w:numId="6" w16cid:durableId="2069331031">
    <w:abstractNumId w:val="4"/>
    <w:lvlOverride w:ilvl="0">
      <w:lvl w:ilvl="0">
        <w:numFmt w:val="decimal"/>
        <w:lvlText w:val="%1."/>
        <w:lvlJc w:val="left"/>
      </w:lvl>
    </w:lvlOverride>
  </w:num>
  <w:num w:numId="7" w16cid:durableId="1571379681">
    <w:abstractNumId w:val="4"/>
    <w:lvlOverride w:ilvl="0">
      <w:lvl w:ilvl="0">
        <w:numFmt w:val="decimal"/>
        <w:lvlText w:val="%1."/>
        <w:lvlJc w:val="left"/>
      </w:lvl>
    </w:lvlOverride>
  </w:num>
  <w:num w:numId="8" w16cid:durableId="614754767">
    <w:abstractNumId w:val="8"/>
  </w:num>
  <w:num w:numId="9" w16cid:durableId="863906889">
    <w:abstractNumId w:val="0"/>
  </w:num>
  <w:num w:numId="10" w16cid:durableId="256406255">
    <w:abstractNumId w:val="3"/>
  </w:num>
  <w:num w:numId="11" w16cid:durableId="1088634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71"/>
    <w:rsid w:val="000418FD"/>
    <w:rsid w:val="0008204B"/>
    <w:rsid w:val="000C07A8"/>
    <w:rsid w:val="001B24A0"/>
    <w:rsid w:val="001F371D"/>
    <w:rsid w:val="001F57F7"/>
    <w:rsid w:val="002A020F"/>
    <w:rsid w:val="00390B29"/>
    <w:rsid w:val="00472394"/>
    <w:rsid w:val="005D41C8"/>
    <w:rsid w:val="00631C23"/>
    <w:rsid w:val="0066517E"/>
    <w:rsid w:val="007A5C7C"/>
    <w:rsid w:val="007C00BE"/>
    <w:rsid w:val="007D6408"/>
    <w:rsid w:val="0098676F"/>
    <w:rsid w:val="009A1F97"/>
    <w:rsid w:val="00B42A4F"/>
    <w:rsid w:val="00B83742"/>
    <w:rsid w:val="00B93E4F"/>
    <w:rsid w:val="00BD2252"/>
    <w:rsid w:val="00DD7896"/>
    <w:rsid w:val="00EE7771"/>
    <w:rsid w:val="00F716DC"/>
    <w:rsid w:val="00F84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F852D"/>
  <w15:chartTrackingRefBased/>
  <w15:docId w15:val="{5EA2124A-786B-4625-B9F8-91F4E6AC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E77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E77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E777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E777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E777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E777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E777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E777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E777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77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E777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E777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E777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E777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E777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E7771"/>
    <w:rPr>
      <w:rFonts w:eastAsiaTheme="majorEastAsia" w:cstheme="majorBidi"/>
      <w:color w:val="595959" w:themeColor="text1" w:themeTint="A6"/>
    </w:rPr>
  </w:style>
  <w:style w:type="character" w:customStyle="1" w:styleId="80">
    <w:name w:val="Заголовок 8 Знак"/>
    <w:basedOn w:val="a0"/>
    <w:link w:val="8"/>
    <w:uiPriority w:val="9"/>
    <w:semiHidden/>
    <w:rsid w:val="00EE777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E7771"/>
    <w:rPr>
      <w:rFonts w:eastAsiaTheme="majorEastAsia" w:cstheme="majorBidi"/>
      <w:color w:val="272727" w:themeColor="text1" w:themeTint="D8"/>
    </w:rPr>
  </w:style>
  <w:style w:type="paragraph" w:styleId="a3">
    <w:name w:val="Title"/>
    <w:basedOn w:val="a"/>
    <w:next w:val="a"/>
    <w:link w:val="a4"/>
    <w:uiPriority w:val="10"/>
    <w:qFormat/>
    <w:rsid w:val="00EE77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E77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77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E777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E7771"/>
    <w:pPr>
      <w:spacing w:before="160"/>
      <w:jc w:val="center"/>
    </w:pPr>
    <w:rPr>
      <w:i/>
      <w:iCs/>
      <w:color w:val="404040" w:themeColor="text1" w:themeTint="BF"/>
    </w:rPr>
  </w:style>
  <w:style w:type="character" w:customStyle="1" w:styleId="22">
    <w:name w:val="Цитата 2 Знак"/>
    <w:basedOn w:val="a0"/>
    <w:link w:val="21"/>
    <w:uiPriority w:val="29"/>
    <w:rsid w:val="00EE7771"/>
    <w:rPr>
      <w:i/>
      <w:iCs/>
      <w:color w:val="404040" w:themeColor="text1" w:themeTint="BF"/>
    </w:rPr>
  </w:style>
  <w:style w:type="paragraph" w:styleId="a7">
    <w:name w:val="List Paragraph"/>
    <w:basedOn w:val="a"/>
    <w:uiPriority w:val="34"/>
    <w:qFormat/>
    <w:rsid w:val="00EE7771"/>
    <w:pPr>
      <w:ind w:left="720"/>
      <w:contextualSpacing/>
    </w:pPr>
  </w:style>
  <w:style w:type="character" w:styleId="a8">
    <w:name w:val="Intense Emphasis"/>
    <w:basedOn w:val="a0"/>
    <w:uiPriority w:val="21"/>
    <w:qFormat/>
    <w:rsid w:val="00EE7771"/>
    <w:rPr>
      <w:i/>
      <w:iCs/>
      <w:color w:val="2F5496" w:themeColor="accent1" w:themeShade="BF"/>
    </w:rPr>
  </w:style>
  <w:style w:type="paragraph" w:styleId="a9">
    <w:name w:val="Intense Quote"/>
    <w:basedOn w:val="a"/>
    <w:next w:val="a"/>
    <w:link w:val="aa"/>
    <w:uiPriority w:val="30"/>
    <w:qFormat/>
    <w:rsid w:val="00EE77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E7771"/>
    <w:rPr>
      <w:i/>
      <w:iCs/>
      <w:color w:val="2F5496" w:themeColor="accent1" w:themeShade="BF"/>
    </w:rPr>
  </w:style>
  <w:style w:type="character" w:styleId="ab">
    <w:name w:val="Intense Reference"/>
    <w:basedOn w:val="a0"/>
    <w:uiPriority w:val="32"/>
    <w:qFormat/>
    <w:rsid w:val="00EE7771"/>
    <w:rPr>
      <w:b/>
      <w:bCs/>
      <w:smallCaps/>
      <w:color w:val="2F5496" w:themeColor="accent1" w:themeShade="BF"/>
      <w:spacing w:val="5"/>
    </w:rPr>
  </w:style>
  <w:style w:type="paragraph" w:styleId="ac">
    <w:name w:val="No Spacing"/>
    <w:uiPriority w:val="1"/>
    <w:qFormat/>
    <w:rsid w:val="007C00BE"/>
    <w:pPr>
      <w:spacing w:after="0" w:line="240" w:lineRule="auto"/>
    </w:pPr>
    <w:rPr>
      <w:rFonts w:ascii="Times New Roman" w:hAnsi="Times New Roman"/>
    </w:rPr>
  </w:style>
  <w:style w:type="paragraph" w:styleId="ad">
    <w:name w:val="header"/>
    <w:basedOn w:val="a"/>
    <w:link w:val="ae"/>
    <w:uiPriority w:val="99"/>
    <w:unhideWhenUsed/>
    <w:rsid w:val="002A020F"/>
    <w:pPr>
      <w:tabs>
        <w:tab w:val="center" w:pos="4844"/>
        <w:tab w:val="right" w:pos="9689"/>
      </w:tabs>
      <w:spacing w:after="0" w:line="240" w:lineRule="auto"/>
    </w:pPr>
  </w:style>
  <w:style w:type="character" w:customStyle="1" w:styleId="ae">
    <w:name w:val="Верхний колонтитул Знак"/>
    <w:basedOn w:val="a0"/>
    <w:link w:val="ad"/>
    <w:uiPriority w:val="99"/>
    <w:rsid w:val="002A020F"/>
  </w:style>
  <w:style w:type="paragraph" w:styleId="af">
    <w:name w:val="footer"/>
    <w:basedOn w:val="a"/>
    <w:link w:val="af0"/>
    <w:uiPriority w:val="99"/>
    <w:unhideWhenUsed/>
    <w:rsid w:val="002A020F"/>
    <w:pPr>
      <w:tabs>
        <w:tab w:val="center" w:pos="4844"/>
        <w:tab w:val="right" w:pos="9689"/>
      </w:tabs>
      <w:spacing w:after="0" w:line="240" w:lineRule="auto"/>
    </w:pPr>
  </w:style>
  <w:style w:type="character" w:customStyle="1" w:styleId="af0">
    <w:name w:val="Нижний колонтитул Знак"/>
    <w:basedOn w:val="a0"/>
    <w:link w:val="af"/>
    <w:uiPriority w:val="99"/>
    <w:rsid w:val="002A0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44124">
      <w:bodyDiv w:val="1"/>
      <w:marLeft w:val="0"/>
      <w:marRight w:val="0"/>
      <w:marTop w:val="0"/>
      <w:marBottom w:val="0"/>
      <w:divBdr>
        <w:top w:val="none" w:sz="0" w:space="0" w:color="auto"/>
        <w:left w:val="none" w:sz="0" w:space="0" w:color="auto"/>
        <w:bottom w:val="none" w:sz="0" w:space="0" w:color="auto"/>
        <w:right w:val="none" w:sz="0" w:space="0" w:color="auto"/>
      </w:divBdr>
    </w:div>
    <w:div w:id="11522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2764</Words>
  <Characters>15760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2025-03-10T11:47:00Z</dcterms:created>
  <dcterms:modified xsi:type="dcterms:W3CDTF">2025-03-26T17:17:00Z</dcterms:modified>
</cp:coreProperties>
</file>