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AABFF" w14:textId="77777777" w:rsidR="0016257D" w:rsidRPr="007C00BE" w:rsidRDefault="0016257D" w:rsidP="0016257D">
      <w:pPr>
        <w:pStyle w:val="a7"/>
        <w:ind w:left="5103"/>
        <w:rPr>
          <w:rFonts w:ascii="Times New Roman" w:hAnsi="Times New Roman" w:cs="Times New Roman"/>
          <w:b/>
          <w:bCs/>
          <w:lang w:val="ru-RU"/>
        </w:rPr>
      </w:pPr>
      <w:r w:rsidRPr="007C00BE">
        <w:rPr>
          <w:rFonts w:ascii="Times New Roman" w:hAnsi="Times New Roman" w:cs="Times New Roman"/>
          <w:b/>
          <w:bCs/>
          <w:lang w:val="ru-RU"/>
        </w:rPr>
        <w:t>«ЗАТВЕРДЖЕНО»</w:t>
      </w:r>
    </w:p>
    <w:p w14:paraId="1C453C97" w14:textId="77777777" w:rsidR="0016257D" w:rsidRPr="007C00BE" w:rsidRDefault="0016257D" w:rsidP="0016257D">
      <w:pPr>
        <w:pStyle w:val="a7"/>
        <w:ind w:left="5103"/>
        <w:rPr>
          <w:rFonts w:ascii="Times New Roman" w:hAnsi="Times New Roman" w:cs="Times New Roman"/>
          <w:b/>
          <w:bCs/>
          <w:lang w:val="ru-RU"/>
        </w:rPr>
      </w:pPr>
      <w:r w:rsidRPr="007C00BE">
        <w:rPr>
          <w:rFonts w:ascii="Times New Roman" w:hAnsi="Times New Roman" w:cs="Times New Roman"/>
          <w:b/>
          <w:bCs/>
          <w:lang w:val="ru-RU"/>
        </w:rPr>
        <w:t>Директор</w:t>
      </w:r>
    </w:p>
    <w:p w14:paraId="2732365D" w14:textId="77777777" w:rsidR="0016257D" w:rsidRPr="007C00BE" w:rsidRDefault="0016257D" w:rsidP="0016257D">
      <w:pPr>
        <w:pStyle w:val="a7"/>
        <w:ind w:left="5103"/>
        <w:rPr>
          <w:rFonts w:ascii="Times New Roman" w:hAnsi="Times New Roman" w:cs="Times New Roman"/>
          <w:b/>
          <w:bCs/>
          <w:lang w:val="ru-RU"/>
        </w:rPr>
      </w:pPr>
      <w:r w:rsidRPr="007C00BE">
        <w:rPr>
          <w:rFonts w:ascii="Times New Roman" w:hAnsi="Times New Roman" w:cs="Times New Roman"/>
          <w:b/>
          <w:bCs/>
          <w:lang w:val="ru-RU"/>
        </w:rPr>
        <w:t xml:space="preserve">ТОВ «ПРДТ ФОНДОВИЙ ЦЕНТР»   </w:t>
      </w:r>
    </w:p>
    <w:p w14:paraId="4C5C4887" w14:textId="77777777" w:rsidR="0016257D" w:rsidRPr="007C00BE" w:rsidRDefault="0016257D" w:rsidP="0016257D">
      <w:pPr>
        <w:pStyle w:val="a7"/>
        <w:ind w:left="5103"/>
        <w:rPr>
          <w:rFonts w:ascii="Times New Roman" w:hAnsi="Times New Roman" w:cs="Times New Roman"/>
          <w:b/>
          <w:bCs/>
          <w:lang w:val="ru-RU"/>
        </w:rPr>
      </w:pPr>
      <w:r w:rsidRPr="007C00BE">
        <w:rPr>
          <w:rFonts w:ascii="Times New Roman" w:hAnsi="Times New Roman" w:cs="Times New Roman"/>
          <w:b/>
          <w:bCs/>
          <w:lang w:val="ru-RU"/>
        </w:rPr>
        <w:t>Голопотелюк О. В.</w:t>
      </w:r>
    </w:p>
    <w:p w14:paraId="0B574C78" w14:textId="77777777" w:rsidR="0016257D" w:rsidRPr="007C00BE" w:rsidRDefault="0016257D" w:rsidP="0016257D">
      <w:pPr>
        <w:pStyle w:val="a7"/>
        <w:ind w:left="5103"/>
        <w:rPr>
          <w:rFonts w:ascii="Times New Roman" w:hAnsi="Times New Roman" w:cs="Times New Roman"/>
          <w:b/>
          <w:bCs/>
          <w:lang w:val="ru-RU"/>
        </w:rPr>
      </w:pPr>
    </w:p>
    <w:p w14:paraId="2F1D60E0" w14:textId="77777777" w:rsidR="0016257D" w:rsidRPr="00CD29E3" w:rsidRDefault="0016257D" w:rsidP="0016257D">
      <w:pPr>
        <w:pStyle w:val="a7"/>
        <w:ind w:left="5103"/>
        <w:rPr>
          <w:rFonts w:ascii="Times New Roman" w:hAnsi="Times New Roman" w:cs="Times New Roman"/>
          <w:b/>
          <w:bCs/>
          <w:lang w:val="ru-RU"/>
        </w:rPr>
      </w:pPr>
      <w:r w:rsidRPr="00CD29E3">
        <w:rPr>
          <w:rFonts w:ascii="Times New Roman" w:hAnsi="Times New Roman" w:cs="Times New Roman"/>
          <w:b/>
          <w:bCs/>
          <w:lang w:val="ru-RU"/>
        </w:rPr>
        <w:t>_______________</w:t>
      </w:r>
    </w:p>
    <w:p w14:paraId="25F703FD" w14:textId="77777777" w:rsidR="00BC5D08" w:rsidRPr="00CD29E3" w:rsidRDefault="00BC5D08" w:rsidP="00BC5D08">
      <w:pPr>
        <w:pStyle w:val="a7"/>
        <w:ind w:left="5103"/>
        <w:rPr>
          <w:rFonts w:ascii="Times New Roman" w:hAnsi="Times New Roman" w:cs="Times New Roman"/>
          <w:b/>
          <w:bCs/>
          <w:lang w:val="ru-RU"/>
        </w:rPr>
      </w:pPr>
      <w:r w:rsidRPr="00CD29E3">
        <w:rPr>
          <w:rFonts w:ascii="Times New Roman" w:hAnsi="Times New Roman" w:cs="Times New Roman"/>
          <w:b/>
          <w:bCs/>
          <w:lang w:val="ru-RU"/>
        </w:rPr>
        <w:t xml:space="preserve">Наказ № </w:t>
      </w:r>
      <w:r>
        <w:rPr>
          <w:rFonts w:ascii="Times New Roman" w:hAnsi="Times New Roman" w:cs="Times New Roman"/>
          <w:b/>
          <w:bCs/>
          <w:lang w:val="ru-RU"/>
        </w:rPr>
        <w:t>2</w:t>
      </w:r>
      <w:r w:rsidRPr="00CD29E3">
        <w:rPr>
          <w:rFonts w:ascii="Times New Roman" w:hAnsi="Times New Roman" w:cs="Times New Roman"/>
          <w:b/>
          <w:bCs/>
          <w:lang w:val="ru-RU"/>
        </w:rPr>
        <w:t xml:space="preserve"> від « </w:t>
      </w:r>
      <w:r>
        <w:rPr>
          <w:rFonts w:ascii="Times New Roman" w:hAnsi="Times New Roman" w:cs="Times New Roman"/>
          <w:b/>
          <w:bCs/>
          <w:lang w:val="ru-RU"/>
        </w:rPr>
        <w:t>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                                                                                                 Вводиться в дію з </w:t>
      </w:r>
      <w:r>
        <w:rPr>
          <w:rFonts w:ascii="Times New Roman" w:hAnsi="Times New Roman" w:cs="Times New Roman"/>
          <w:b/>
          <w:bCs/>
          <w:lang w:val="ru-RU"/>
        </w:rPr>
        <w:t>« 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w:t>
      </w:r>
    </w:p>
    <w:p w14:paraId="2CC377D3" w14:textId="77777777" w:rsidR="00A16A5A" w:rsidRPr="00A16A5A" w:rsidRDefault="00A16A5A" w:rsidP="00675C04">
      <w:pPr>
        <w:spacing w:line="240" w:lineRule="auto"/>
        <w:rPr>
          <w:rFonts w:ascii="Times New Roman" w:hAnsi="Times New Roman" w:cs="Times New Roman"/>
          <w:lang w:val="ru-RU"/>
        </w:rPr>
      </w:pPr>
    </w:p>
    <w:p w14:paraId="61D8A40E" w14:textId="77777777" w:rsidR="00A16A5A" w:rsidRPr="00C00F7C" w:rsidRDefault="00A16A5A" w:rsidP="009F133D">
      <w:pPr>
        <w:pStyle w:val="ac"/>
        <w:jc w:val="center"/>
        <w:rPr>
          <w:rFonts w:ascii="Times New Roman" w:hAnsi="Times New Roman" w:cs="Times New Roman"/>
          <w:b/>
          <w:bCs/>
          <w:sz w:val="28"/>
          <w:szCs w:val="28"/>
          <w:lang w:val="ru-RU"/>
        </w:rPr>
      </w:pPr>
      <w:r w:rsidRPr="00C00F7C">
        <w:rPr>
          <w:rFonts w:ascii="Times New Roman" w:hAnsi="Times New Roman" w:cs="Times New Roman"/>
          <w:b/>
          <w:bCs/>
          <w:sz w:val="28"/>
          <w:szCs w:val="28"/>
          <w:lang w:val="ru-RU"/>
        </w:rPr>
        <w:t>ІІ. Порядок вчинення правочинів щодо фінансових інструментів</w:t>
      </w:r>
    </w:p>
    <w:p w14:paraId="4F1A9516" w14:textId="258CB6A8" w:rsidR="00A16A5A" w:rsidRPr="00C00F7C" w:rsidRDefault="00A16A5A" w:rsidP="009F133D">
      <w:pPr>
        <w:pStyle w:val="ac"/>
        <w:jc w:val="center"/>
        <w:rPr>
          <w:rFonts w:ascii="Times New Roman" w:hAnsi="Times New Roman" w:cs="Times New Roman"/>
          <w:b/>
          <w:bCs/>
          <w:sz w:val="28"/>
          <w:szCs w:val="28"/>
          <w:lang w:val="ru-RU"/>
        </w:rPr>
      </w:pPr>
      <w:r w:rsidRPr="00C00F7C">
        <w:rPr>
          <w:rFonts w:ascii="Times New Roman" w:hAnsi="Times New Roman" w:cs="Times New Roman"/>
          <w:b/>
          <w:bCs/>
          <w:sz w:val="28"/>
          <w:szCs w:val="28"/>
          <w:lang w:val="ru-RU"/>
        </w:rPr>
        <w:t>(укладання договорів)</w:t>
      </w:r>
    </w:p>
    <w:p w14:paraId="4090E0AA" w14:textId="77777777" w:rsidR="009F133D" w:rsidRPr="009F133D" w:rsidRDefault="009F133D" w:rsidP="009F133D">
      <w:pPr>
        <w:pStyle w:val="ac"/>
        <w:jc w:val="center"/>
        <w:rPr>
          <w:rFonts w:ascii="Times New Roman" w:hAnsi="Times New Roman" w:cs="Times New Roman"/>
          <w:b/>
          <w:bCs/>
          <w:lang w:val="ru-RU"/>
        </w:rPr>
      </w:pPr>
    </w:p>
    <w:p w14:paraId="49D64B54" w14:textId="47C32C71" w:rsidR="00A16A5A" w:rsidRPr="00A16A5A" w:rsidRDefault="00A16A5A" w:rsidP="009F133D">
      <w:pPr>
        <w:spacing w:line="240" w:lineRule="auto"/>
        <w:ind w:firstLine="720"/>
        <w:rPr>
          <w:rFonts w:ascii="Times New Roman" w:hAnsi="Times New Roman" w:cs="Times New Roman"/>
          <w:lang w:val="ru-RU"/>
        </w:rPr>
      </w:pPr>
      <w:r w:rsidRPr="00A16A5A">
        <w:rPr>
          <w:rFonts w:ascii="Times New Roman" w:hAnsi="Times New Roman" w:cs="Times New Roman"/>
          <w:lang w:val="ru-RU"/>
        </w:rPr>
        <w:t xml:space="preserve">Цей документ є складовою Положення про провадження діяльності з торгівлі фінансовими інструментами в </w:t>
      </w:r>
      <w:r w:rsidR="009F133D">
        <w:rPr>
          <w:rFonts w:ascii="Times New Roman" w:hAnsi="Times New Roman" w:cs="Times New Roman"/>
          <w:lang w:val="ru-RU"/>
        </w:rPr>
        <w:t xml:space="preserve">ТОВ "ПРДТ ФОНДОВИЙ ЦЕНТР" </w:t>
      </w:r>
      <w:r w:rsidRPr="00A16A5A">
        <w:rPr>
          <w:rFonts w:ascii="Times New Roman" w:hAnsi="Times New Roman" w:cs="Times New Roman"/>
          <w:lang w:val="ru-RU"/>
        </w:rPr>
        <w:t>та визначає  порядок укладення правочинів щодо фінансових документів.</w:t>
      </w:r>
    </w:p>
    <w:p w14:paraId="3D14A34B"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1.</w:t>
      </w:r>
      <w:r w:rsidRPr="00A16A5A">
        <w:rPr>
          <w:rFonts w:ascii="Times New Roman" w:hAnsi="Times New Roman" w:cs="Times New Roman"/>
          <w:lang w:val="ru-RU"/>
        </w:rPr>
        <w:tab/>
        <w:t>Договори укладаються (вчиняються) Інвестиційною фірмою відповідно до Цивільного кодексу України, Господарського кодексу України, Закону України «Про фінансові послуги та фінансові компанії», Закону України «Про ринки капіталу та організовані товарні ринки» та Вимог до договорів, які укладаються під час провадження професійної діяльності на фондовому ринку - діяльності з торгівлі цінними паперами: брокерської діяльності, дилерської діяльності, андеррайтингу, управління цінними паперами, затверджених рішенням НКЦПФР від 03.11.2020р. №641 (надалі – Вимоги).</w:t>
      </w:r>
    </w:p>
    <w:p w14:paraId="5BC93C8D"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2.</w:t>
      </w:r>
      <w:r w:rsidRPr="00A16A5A">
        <w:rPr>
          <w:rFonts w:ascii="Times New Roman" w:hAnsi="Times New Roman" w:cs="Times New Roman"/>
          <w:lang w:val="ru-RU"/>
        </w:rPr>
        <w:tab/>
        <w:t>Інвестиційна фірма під час встановлення ділових відносин до надання клієнту будь-якої інвестиційної послуги повинна укласти з клієнтом генеральний договір або іншій договір, який передбачає оцінювання клієнта.</w:t>
      </w:r>
    </w:p>
    <w:p w14:paraId="5224D1ED"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3.</w:t>
      </w:r>
      <w:r w:rsidRPr="00A16A5A">
        <w:rPr>
          <w:rFonts w:ascii="Times New Roman" w:hAnsi="Times New Roman" w:cs="Times New Roman"/>
          <w:lang w:val="ru-RU"/>
        </w:rPr>
        <w:tab/>
        <w:t>Генеральний договір або інший договір, який укладається між Інвестиційною фірмою та її клієнтом та містить результати проведеного Інвестиційною фірмою оцінювання клієнта, повинен укладатися виключно в письмовій формі, викладатися у формі єдиного документа, підписаного сторонами, у паперовому вигляді або у вигляді електронного документа з дотриманням вимог законодавства. </w:t>
      </w:r>
    </w:p>
    <w:p w14:paraId="69964FBB"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4.</w:t>
      </w:r>
      <w:r w:rsidRPr="00A16A5A">
        <w:rPr>
          <w:rFonts w:ascii="Times New Roman" w:hAnsi="Times New Roman" w:cs="Times New Roman"/>
          <w:lang w:val="ru-RU"/>
        </w:rPr>
        <w:tab/>
        <w:t>За згодою клієнта генеральний договір може укладатися шляхом приєднання клієнта до запропонованого Інвестиційною фірмою генерального договору з урахуванням вимог, встановлених частиною другою статті 6 Закону України «Про фінансові послуги та фінансові компанії», який повинен постійно бути розміщений для ознайомлення у вигляді електронного документа на власному веб-сайті Інвестиційної фірми. При укладенні генерального договору Інвестиційна фірма не має права обмежувати право клієнта на укладення договору з Інвестиційною фірмою у формі єдиного документа. </w:t>
      </w:r>
    </w:p>
    <w:p w14:paraId="467DA295"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5.</w:t>
      </w:r>
      <w:r w:rsidRPr="00A16A5A">
        <w:rPr>
          <w:rFonts w:ascii="Times New Roman" w:hAnsi="Times New Roman" w:cs="Times New Roman"/>
          <w:lang w:val="ru-RU"/>
        </w:rPr>
        <w:tab/>
        <w:t>Предметом генерального договору, який укладається між двома інвестиційними фірмами або Інвестиційною фірмою та іноземною інвестиційною фірмою, є встановлення порядку надання взаємних інвестиційних послуг та/або здійснення дій чи надання послуг, пов’язаних з такими послугами, між такими особами. При укладанні такого генерального договору обидві особи можуть виступати одна до одної у якості клієнта та надавача інвестиційних послуг.</w:t>
      </w:r>
    </w:p>
    <w:p w14:paraId="5CD30C50"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У випадку коли генеральний договір укладається шляхом приєднання клієнта до нього, такий договір складається з публічної частини (додаток №1 до цього Порядку) та індивідуальної частини, підписанням якої клієнт приєднується до договору в цілому.</w:t>
      </w:r>
    </w:p>
    <w:p w14:paraId="278C3F44"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Індивідуальна частина генерального договору укладається з клієнтом у письмовій формі (у паперовому вигляді або у вигляді електронного документа) з обов’язковим зазначенням у такому договорі умов, встановлених Вимогами для відповідного виду договорів.</w:t>
      </w:r>
    </w:p>
    <w:p w14:paraId="4A63E440"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5.1.</w:t>
      </w:r>
      <w:r w:rsidRPr="00A16A5A">
        <w:rPr>
          <w:rFonts w:ascii="Times New Roman" w:hAnsi="Times New Roman" w:cs="Times New Roman"/>
          <w:lang w:val="ru-RU"/>
        </w:rPr>
        <w:tab/>
        <w:t>Інвестиційна фірма надає послуги клієнту лише на підставі замовлень, отриманих від клієнта, крім випадків укладення з клієнтом договору комісії та/або договору доручення.</w:t>
      </w:r>
    </w:p>
    <w:p w14:paraId="75384F34"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lastRenderedPageBreak/>
        <w:t>Замовлення клієнта - це доручення (розпорядження, наказ) клієнта Інвестиційній фірмі на встановлених клієнтом умовах надати певного виду інвестиційну послугу з визначеними фінансовими інструментами на підставі генерального договору. </w:t>
      </w:r>
    </w:p>
    <w:p w14:paraId="0C436392"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Деталізовані процедури виконання замовлень клієнтів визначені у главі 3 «V. Порядку роботи з клієнтами», що є складовою цього Положення.</w:t>
      </w:r>
    </w:p>
    <w:p w14:paraId="104F9E40"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w:t>
      </w:r>
      <w:r w:rsidRPr="009F133D">
        <w:rPr>
          <w:rFonts w:ascii="Times New Roman" w:hAnsi="Times New Roman" w:cs="Times New Roman"/>
          <w:lang w:val="ru-RU"/>
        </w:rPr>
        <w:tab/>
        <w:t>Номер договору, що укладається Інвестиційною фірмою, повинен містити присвоєну літерну ознаку виду договору, а саме:</w:t>
      </w:r>
    </w:p>
    <w:p w14:paraId="5976B84B"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6.1.</w:t>
      </w:r>
      <w:r w:rsidRPr="009F133D">
        <w:rPr>
          <w:rFonts w:ascii="Times New Roman" w:hAnsi="Times New Roman" w:cs="Times New Roman"/>
          <w:lang w:val="ru-RU"/>
        </w:rPr>
        <w:tab/>
        <w:t>Договори при здійсненні брокерської діяльності:</w:t>
      </w:r>
    </w:p>
    <w:p w14:paraId="3A88F42E"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6.1.1.</w:t>
      </w:r>
      <w:r w:rsidRPr="009F133D">
        <w:rPr>
          <w:rFonts w:ascii="Times New Roman" w:hAnsi="Times New Roman" w:cs="Times New Roman"/>
          <w:lang w:val="ru-RU"/>
        </w:rPr>
        <w:tab/>
        <w:t>договір доручення – «БД» (присвоюється Інвестиційною фірмою, якщо вона за договором виступає повіреним); </w:t>
      </w:r>
    </w:p>
    <w:p w14:paraId="330C67DF"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6.1.2.</w:t>
      </w:r>
      <w:r w:rsidRPr="009F133D">
        <w:rPr>
          <w:rFonts w:ascii="Times New Roman" w:hAnsi="Times New Roman" w:cs="Times New Roman"/>
          <w:lang w:val="ru-RU"/>
        </w:rPr>
        <w:tab/>
        <w:t>договір комісії – «БК» (присвоюється Інвестиційною фірмою, якщо вона за договором виступає комісіонером); </w:t>
      </w:r>
    </w:p>
    <w:p w14:paraId="7DF9A3B5"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6.1.3.</w:t>
      </w:r>
      <w:r w:rsidRPr="009F133D">
        <w:rPr>
          <w:rFonts w:ascii="Times New Roman" w:hAnsi="Times New Roman" w:cs="Times New Roman"/>
          <w:lang w:val="ru-RU"/>
        </w:rPr>
        <w:tab/>
        <w:t>генеральний  договір - «ГД» (присвоюється Інвестиційною фірмою при укладанні договору з клієнтом, який не є інвестиційною фірмою),  </w:t>
      </w:r>
    </w:p>
    <w:p w14:paraId="6D0A64D1"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6.1.4.</w:t>
      </w:r>
      <w:r w:rsidRPr="009F133D">
        <w:rPr>
          <w:rFonts w:ascii="Times New Roman" w:hAnsi="Times New Roman" w:cs="Times New Roman"/>
          <w:lang w:val="ru-RU"/>
        </w:rPr>
        <w:tab/>
        <w:t>договір субкомісії – «БСС» (присвоюється Інвестиційною фірмою, якщо вона за договором субкомісії з іншою інвестиційною фірмою виступає субкомісіонером), </w:t>
      </w:r>
    </w:p>
    <w:p w14:paraId="42CA8EC0"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6.1.5. договір субкомісії - «БСК» (присвоюється Інвестиційною фірмою, якщо вона за договором субкомісії з іншою інвестиційною фірмою виступає комітентом);</w:t>
      </w:r>
    </w:p>
    <w:p w14:paraId="6FD33A15"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6.1.6.</w:t>
      </w:r>
      <w:r w:rsidRPr="009F133D">
        <w:rPr>
          <w:rFonts w:ascii="Times New Roman" w:hAnsi="Times New Roman" w:cs="Times New Roman"/>
          <w:lang w:val="ru-RU"/>
        </w:rPr>
        <w:tab/>
        <w:t>договір на виконання договору комісії, договору доручення, наданого замовлення клієнта до генерального договору, укладених з клієнтом, який не є інвестиційною фірмою – «БВ»;</w:t>
      </w:r>
    </w:p>
    <w:p w14:paraId="15682BC5"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6.1.7.</w:t>
      </w:r>
      <w:r w:rsidRPr="009F133D">
        <w:rPr>
          <w:rFonts w:ascii="Times New Roman" w:hAnsi="Times New Roman" w:cs="Times New Roman"/>
          <w:lang w:val="ru-RU"/>
        </w:rPr>
        <w:tab/>
        <w:t>договір на виконання договору комісії, договору доручення, договору субкомісії, наданого замовлення клієнта до генерального договору, укладених між інвестиційними фірмами  – «БВТ» (присвоюється Інвестиційною фірмою, якщо вона за договором з іншою інвестиційною фірмою виступає комісіонером, субкомісіонером або повіреним), «БВК» (присвоюється Інвестиційною фірмою, якщо вона в інтересах свого клієнта виступає комітентом за договором з іншою інвестиційною фірмою);</w:t>
      </w:r>
    </w:p>
    <w:p w14:paraId="5863ED05"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6.2.</w:t>
      </w:r>
      <w:r w:rsidRPr="009F133D">
        <w:rPr>
          <w:rFonts w:ascii="Times New Roman" w:hAnsi="Times New Roman" w:cs="Times New Roman"/>
          <w:lang w:val="ru-RU"/>
        </w:rPr>
        <w:tab/>
        <w:t>Договори при здійсненні дилерської діяльності: </w:t>
      </w:r>
    </w:p>
    <w:p w14:paraId="0C88CB76"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6.2.1.</w:t>
      </w:r>
      <w:r w:rsidRPr="009F133D">
        <w:rPr>
          <w:rFonts w:ascii="Times New Roman" w:hAnsi="Times New Roman" w:cs="Times New Roman"/>
          <w:lang w:val="ru-RU"/>
        </w:rPr>
        <w:tab/>
        <w:t>дилерські договори – «ДД»;</w:t>
      </w:r>
    </w:p>
    <w:p w14:paraId="76F21DE5"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6.2.2.</w:t>
      </w:r>
      <w:r w:rsidRPr="009F133D">
        <w:rPr>
          <w:rFonts w:ascii="Times New Roman" w:hAnsi="Times New Roman" w:cs="Times New Roman"/>
          <w:lang w:val="ru-RU"/>
        </w:rPr>
        <w:tab/>
        <w:t>договір комісії - «ДКК» (присвоюється Інвестиційною фірмою, якщо вона за договором виступає комітентом);</w:t>
      </w:r>
    </w:p>
    <w:p w14:paraId="4171C497"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6.2.3.</w:t>
      </w:r>
      <w:r w:rsidRPr="009F133D">
        <w:rPr>
          <w:rFonts w:ascii="Times New Roman" w:hAnsi="Times New Roman" w:cs="Times New Roman"/>
          <w:lang w:val="ru-RU"/>
        </w:rPr>
        <w:tab/>
        <w:t>договір доручення - «ДДД» (присвоюється Інвестиційною фірмою, якщо вона за договором виступає довірителем);</w:t>
      </w:r>
    </w:p>
    <w:p w14:paraId="448FABFF"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6.3.</w:t>
      </w:r>
      <w:r w:rsidRPr="009F133D">
        <w:rPr>
          <w:rFonts w:ascii="Times New Roman" w:hAnsi="Times New Roman" w:cs="Times New Roman"/>
          <w:lang w:val="ru-RU"/>
        </w:rPr>
        <w:tab/>
        <w:t xml:space="preserve"> Для надання інвестиційних послуг з розміщення цінних паперів (андеррайтингу) Інвестиційна фірма укладає з клієнтом:</w:t>
      </w:r>
    </w:p>
    <w:p w14:paraId="56C638FE"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6.3.1.  додатковий договір до генерального договору (договір андеррайтингу) -  «АА»; </w:t>
      </w:r>
    </w:p>
    <w:p w14:paraId="0D853C92"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6.3.2. договір на придбання (договір щодо відчуження) – «АП»;</w:t>
      </w:r>
      <w:r w:rsidRPr="009F133D">
        <w:rPr>
          <w:rFonts w:ascii="Times New Roman" w:hAnsi="Times New Roman" w:cs="Times New Roman"/>
          <w:lang w:val="ru-RU"/>
        </w:rPr>
        <w:tab/>
      </w:r>
    </w:p>
    <w:p w14:paraId="4B716DC7"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6.3.3. договір про спільну діяльність – «АС».</w:t>
      </w:r>
    </w:p>
    <w:p w14:paraId="598D42BC"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6.4.</w:t>
      </w:r>
      <w:r w:rsidRPr="009F133D">
        <w:rPr>
          <w:rFonts w:ascii="Times New Roman" w:hAnsi="Times New Roman" w:cs="Times New Roman"/>
          <w:lang w:val="ru-RU"/>
        </w:rPr>
        <w:tab/>
        <w:t>При виконанні операцій РЕПО до літерної ознаки номера договору додається літерна ознака - «Р»;</w:t>
      </w:r>
    </w:p>
    <w:p w14:paraId="1B45FF2A" w14:textId="77777777" w:rsidR="00A16A5A" w:rsidRDefault="00A16A5A" w:rsidP="009F133D">
      <w:pPr>
        <w:pStyle w:val="ac"/>
        <w:rPr>
          <w:rFonts w:ascii="Times New Roman" w:hAnsi="Times New Roman" w:cs="Times New Roman"/>
          <w:lang w:val="ru-RU"/>
        </w:rPr>
      </w:pPr>
      <w:r w:rsidRPr="009F133D">
        <w:rPr>
          <w:rFonts w:ascii="Times New Roman" w:hAnsi="Times New Roman" w:cs="Times New Roman"/>
          <w:lang w:val="ru-RU"/>
        </w:rPr>
        <w:t>6.5.</w:t>
      </w:r>
      <w:r w:rsidRPr="009F133D">
        <w:rPr>
          <w:rFonts w:ascii="Times New Roman" w:hAnsi="Times New Roman" w:cs="Times New Roman"/>
          <w:lang w:val="ru-RU"/>
        </w:rPr>
        <w:tab/>
        <w:t>При виконанні операцій позики до літерної ознаки номера договору додається літерна ознака - «П».</w:t>
      </w:r>
    </w:p>
    <w:p w14:paraId="6C7E1A94" w14:textId="77777777" w:rsidR="009F133D" w:rsidRPr="009F133D" w:rsidRDefault="009F133D" w:rsidP="009F133D">
      <w:pPr>
        <w:pStyle w:val="ac"/>
        <w:rPr>
          <w:rFonts w:ascii="Times New Roman" w:hAnsi="Times New Roman" w:cs="Times New Roman"/>
          <w:lang w:val="ru-RU"/>
        </w:rPr>
      </w:pPr>
    </w:p>
    <w:p w14:paraId="675AB211"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7.</w:t>
      </w:r>
      <w:r w:rsidRPr="009F133D">
        <w:rPr>
          <w:rFonts w:ascii="Times New Roman" w:hAnsi="Times New Roman" w:cs="Times New Roman"/>
          <w:lang w:val="ru-RU"/>
        </w:rPr>
        <w:tab/>
        <w:t>Порядок нумерації договорів наступний:</w:t>
      </w:r>
    </w:p>
    <w:p w14:paraId="1D6E1EC7" w14:textId="77777777" w:rsidR="00A16A5A" w:rsidRDefault="00A16A5A" w:rsidP="009F133D">
      <w:pPr>
        <w:pStyle w:val="ac"/>
        <w:rPr>
          <w:rFonts w:ascii="Times New Roman" w:hAnsi="Times New Roman" w:cs="Times New Roman"/>
          <w:lang w:val="ru-RU"/>
        </w:rPr>
      </w:pPr>
      <w:r w:rsidRPr="009F133D">
        <w:rPr>
          <w:rFonts w:ascii="Times New Roman" w:hAnsi="Times New Roman" w:cs="Times New Roman"/>
          <w:lang w:val="ru-RU"/>
        </w:rPr>
        <w:t xml:space="preserve">-  літерна ознака виду договору, наскрізна цифрова нумерація в розрізі кожного договору, дата договору </w:t>
      </w:r>
      <w:r w:rsidRPr="009F133D">
        <w:rPr>
          <w:rFonts w:ascii="Times New Roman" w:hAnsi="Times New Roman" w:cs="Times New Roman"/>
          <w:i/>
          <w:iCs/>
          <w:lang w:val="ru-RU"/>
        </w:rPr>
        <w:t>(рік, місяць, день</w:t>
      </w:r>
      <w:r w:rsidRPr="009F133D">
        <w:rPr>
          <w:rFonts w:ascii="Times New Roman" w:hAnsi="Times New Roman" w:cs="Times New Roman"/>
          <w:lang w:val="ru-RU"/>
        </w:rPr>
        <w:t>).</w:t>
      </w:r>
    </w:p>
    <w:p w14:paraId="754BC392" w14:textId="77777777" w:rsidR="009F133D" w:rsidRPr="009F133D" w:rsidRDefault="009F133D" w:rsidP="009F133D">
      <w:pPr>
        <w:pStyle w:val="ac"/>
        <w:rPr>
          <w:rFonts w:ascii="Times New Roman" w:hAnsi="Times New Roman" w:cs="Times New Roman"/>
          <w:lang w:val="ru-RU"/>
        </w:rPr>
      </w:pPr>
    </w:p>
    <w:p w14:paraId="249F81A6"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8.</w:t>
      </w:r>
      <w:r w:rsidRPr="00A16A5A">
        <w:rPr>
          <w:rFonts w:ascii="Times New Roman" w:hAnsi="Times New Roman" w:cs="Times New Roman"/>
          <w:lang w:val="ru-RU"/>
        </w:rPr>
        <w:tab/>
        <w:t>Для відображення договорів, укладених на організованому ринку, у внутрішньому обліку Інвестиційної фірми до номера біржового контракту додається літерна ознака виду договору відповідно до підпункту 6 цієї глави.</w:t>
      </w:r>
    </w:p>
    <w:p w14:paraId="163D907A"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9.</w:t>
      </w:r>
      <w:r w:rsidRPr="00A16A5A">
        <w:rPr>
          <w:rFonts w:ascii="Times New Roman" w:hAnsi="Times New Roman" w:cs="Times New Roman"/>
          <w:lang w:val="ru-RU"/>
        </w:rPr>
        <w:tab/>
        <w:t>Істотними умовами договору є умови про предмет договору, умови, що визначені законом та/або нормативно-правовими актами НКЦПФР як істотні або є необхідними для договорів даного виду, а також усі ті умови, щодо яких за заявою хоча б однієї із сторін має бути досягнуто згоди.</w:t>
      </w:r>
    </w:p>
    <w:p w14:paraId="52DC639F"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10.</w:t>
      </w:r>
      <w:r w:rsidRPr="009F133D">
        <w:rPr>
          <w:rFonts w:ascii="Times New Roman" w:hAnsi="Times New Roman" w:cs="Times New Roman"/>
          <w:lang w:val="ru-RU"/>
        </w:rPr>
        <w:tab/>
        <w:t>Крім істотних умов договору на надання послуг, у договорі (за винятком договорів, що укладаються на організованих ринках) зазначаються, зокрема:</w:t>
      </w:r>
    </w:p>
    <w:p w14:paraId="6BE6B9A7"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реквізити ідентифікації договору;</w:t>
      </w:r>
    </w:p>
    <w:p w14:paraId="0D6D3548"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реквізити сторін:</w:t>
      </w:r>
    </w:p>
    <w:p w14:paraId="31A1B724"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 xml:space="preserve">для юридичної особи: повне або скорочене найменування (у разі наявності); код за ЄДРПОУ - для юридичної особи - резидента; номер реєстрації відповідно до торговельного, банківського або судового </w:t>
      </w:r>
      <w:r w:rsidRPr="009F133D">
        <w:rPr>
          <w:rFonts w:ascii="Times New Roman" w:hAnsi="Times New Roman" w:cs="Times New Roman"/>
          <w:lang w:val="ru-RU"/>
        </w:rPr>
        <w:lastRenderedPageBreak/>
        <w:t>реєстру або реєстру місцевого органу влади іноземної держави про реєстрацію юридичної особи (далі - номер реєстрації) - для юридичної особи - нерезидента;</w:t>
      </w:r>
    </w:p>
    <w:p w14:paraId="23FBAB75"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для фізичної особи: прізвище, ім’я, по батькові (у разі наявності); серія (за наявності) і номер паспорта (або іншого документа, що посвідчує особу), дата видачі та орган, що його видав; для фізичної особи - резидента - реєстраційний номер облікової картки платника податків (у разі відсутності відповідно до законодавства - не зазначається);</w:t>
      </w:r>
    </w:p>
    <w:p w14:paraId="08ED7702"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місцезнаходження сторін;</w:t>
      </w:r>
    </w:p>
    <w:p w14:paraId="18FB307E"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серія, номер, дата видачі ліцензії (у разі наявності) торговцю на провадження відповідного виду професійної діяльності на ринках капіталу- діяльності з торгівлі цінними паперами та/або дата і номер рішення НКЦПФР про видачу ліцензії на провадження професійної діяльності на ринках капіталу- діяльності з торгівлі цінними паперами;</w:t>
      </w:r>
    </w:p>
    <w:p w14:paraId="777FFE0E"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у разі якщо клієнтом/іншою стороною за договором є професійний учасник фондового ринку - Інвестиційна фірма, вказуються серія, номер, дата видачі ліцензії (у разі наявності) та/або дата і номер рішення НКЦПФР про видачу ліцензії на провадження відповідного виду професійної діяльності - діяльності з торгівлі цінними паперами на фондовому ринку;</w:t>
      </w:r>
    </w:p>
    <w:p w14:paraId="04424657"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відповідальність сторін і порядок розгляду спорів;</w:t>
      </w:r>
    </w:p>
    <w:p w14:paraId="7D9136C4"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порядок нарахування та сплати винагороди за надання послуг відповідно до договору (крім договорів укладених під час здійснення дилерської діяльності, договору позики, договору РЕПО, договорів на виконання);</w:t>
      </w:r>
    </w:p>
    <w:p w14:paraId="46EF0220"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порядок, термін (терміни) та спосіб (способи) надання Інвестиційною фірмою звіту (звітів) клієнту (крім договорів укладених під час здійснення дилерської діяльності, договору позики, договору РЕПО, договорів на виконання);</w:t>
      </w:r>
    </w:p>
    <w:p w14:paraId="5A316874"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підтвердження, що інформація про умови та порядок діяльності Інвестиційної фірми надана клієнту, з урахуванням вимог, встановлених частиною першою статті 7 Закону України «Про фінансові послуги та фінансові компанії» (крім договорів укладених при здійсненні дилерської діяльності);</w:t>
      </w:r>
    </w:p>
    <w:p w14:paraId="34811A62"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підтвердження, що інформація, зазначена в частині другій статті 7 Закону України «Про фінансові послуги та фінансові компанії, надана клієнту (крім договорів укладених при здійсненні дилерської діяльності);</w:t>
      </w:r>
    </w:p>
    <w:p w14:paraId="57DDFF30"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відомості про засоби зв’язку між сторонами договору, а також відомості про уповноважених осіб сторін, через яких сторони підтримуватимуть зв’язок, у разі якщо такими особами не є особи, що підписали договір;</w:t>
      </w:r>
    </w:p>
    <w:p w14:paraId="7A93A941"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порядок зміни умов договору та умови його розірвання;</w:t>
      </w:r>
    </w:p>
    <w:p w14:paraId="0DD11422"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умови щодо збереження та захисту інформації, що відповідно до закону належить до конфіденційної, у тому числі інформації, доступ до якої обмежений клієнтом;</w:t>
      </w:r>
    </w:p>
    <w:p w14:paraId="28FE1706" w14:textId="77777777" w:rsidR="00A16A5A"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право Інвестиційної фірми відмовити клієнту в укладенні/виконанні договору комісії, договору доручення, виконанні замовлень, інших розпоряджень (доручень) клієнта, зокрема у випадку, якщо Інвестиційна фірма вбачає, що такі дії можуть призвести до порушення вимог законодавства України (зокрема, маніпулювання цінами на ринках капіталу або укладання договорів з використанням інсайдерської інформації).</w:t>
      </w:r>
    </w:p>
    <w:p w14:paraId="2F11065E" w14:textId="77777777" w:rsidR="009F133D" w:rsidRPr="009F133D" w:rsidRDefault="009F133D" w:rsidP="009F133D">
      <w:pPr>
        <w:pStyle w:val="ac"/>
        <w:rPr>
          <w:rFonts w:ascii="Times New Roman" w:hAnsi="Times New Roman" w:cs="Times New Roman"/>
          <w:lang w:val="ru-RU"/>
        </w:rPr>
      </w:pPr>
    </w:p>
    <w:p w14:paraId="36C5FD46"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11.</w:t>
      </w:r>
      <w:r w:rsidRPr="009F133D">
        <w:rPr>
          <w:rFonts w:ascii="Times New Roman" w:hAnsi="Times New Roman" w:cs="Times New Roman"/>
          <w:lang w:val="ru-RU"/>
        </w:rPr>
        <w:tab/>
        <w:t xml:space="preserve"> Також у договорі може міститися підтвердження, що до моменту укладання договору (крім дилерського договору) з клієнтом додатково надана інформація про:</w:t>
      </w:r>
    </w:p>
    <w:p w14:paraId="649233D4"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фінансову послугу, що пропонується надати Клієнту, із зазначенням вартості цієї послуги для клієнта, якщо інше не передбачено законами з питань регулювання окремих ринків фінансових послуг;</w:t>
      </w:r>
    </w:p>
    <w:p w14:paraId="57DB3E35"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умови надання додаткових фінансових послуг та їх вартість;</w:t>
      </w:r>
    </w:p>
    <w:p w14:paraId="10EE4A34"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порядок сплати податків і зборів за рахунок фізичної особи в результаті отримання фінансової послуги;</w:t>
      </w:r>
    </w:p>
    <w:p w14:paraId="20A1634A"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правові наслідки та порядок здійснення розрахунків з фізичною особою внаслідок дострокового припинення надання фінансової послуги;</w:t>
      </w:r>
    </w:p>
    <w:p w14:paraId="6A6AE2C6"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механізм захисту Інвестиційною фірмою прав споживачів та порядок врегулювання спірних питань, що виникають у процесі надання фінансової послуги;</w:t>
      </w:r>
    </w:p>
    <w:p w14:paraId="218ABE6B" w14:textId="77777777" w:rsidR="00A16A5A" w:rsidRPr="009F133D"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реквізити органу, який здійснює державне регулювання ринків фінансових послуг (адреса, номер телефону тощо), а також реквізити органів з питань захисту прав споживачів;</w:t>
      </w:r>
    </w:p>
    <w:p w14:paraId="62B7C558" w14:textId="77777777" w:rsidR="00A16A5A" w:rsidRDefault="00A16A5A" w:rsidP="009F133D">
      <w:pPr>
        <w:pStyle w:val="ac"/>
        <w:rPr>
          <w:rFonts w:ascii="Times New Roman" w:hAnsi="Times New Roman" w:cs="Times New Roman"/>
          <w:lang w:val="ru-RU"/>
        </w:rPr>
      </w:pPr>
      <w:r w:rsidRPr="009F133D">
        <w:rPr>
          <w:rFonts w:ascii="Times New Roman" w:hAnsi="Times New Roman" w:cs="Times New Roman"/>
          <w:lang w:val="ru-RU"/>
        </w:rPr>
        <w:t>•</w:t>
      </w:r>
      <w:r w:rsidRPr="009F133D">
        <w:rPr>
          <w:rFonts w:ascii="Times New Roman" w:hAnsi="Times New Roman" w:cs="Times New Roman"/>
          <w:lang w:val="ru-RU"/>
        </w:rPr>
        <w:tab/>
        <w:t>розмір винагороди Інвестиційною фірмою у разі, коли вона клієнту запропоновано фінансові послуги, що надаються іншими фінансовими установами.</w:t>
      </w:r>
    </w:p>
    <w:p w14:paraId="704A66B9" w14:textId="77777777" w:rsidR="009F133D" w:rsidRPr="009F133D" w:rsidRDefault="009F133D" w:rsidP="009F133D">
      <w:pPr>
        <w:pStyle w:val="ac"/>
        <w:rPr>
          <w:rFonts w:ascii="Times New Roman" w:hAnsi="Times New Roman" w:cs="Times New Roman"/>
          <w:lang w:val="ru-RU"/>
        </w:rPr>
      </w:pPr>
    </w:p>
    <w:p w14:paraId="3F1A9CD5"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lastRenderedPageBreak/>
        <w:t>12.</w:t>
      </w:r>
      <w:r w:rsidRPr="00A16A5A">
        <w:rPr>
          <w:rFonts w:ascii="Times New Roman" w:hAnsi="Times New Roman" w:cs="Times New Roman"/>
          <w:lang w:val="ru-RU"/>
        </w:rPr>
        <w:tab/>
        <w:t xml:space="preserve"> При зміні істотних умов або розірванні договору, що має наслідком виникнення, зміну або припинення зобов’язань Інвестиційної фірми та/або її клієнта, таку зміну або розірвання оформлюється додатковим договором та відображається факт укладання додаткового договору у внутрішньому обліку. </w:t>
      </w:r>
    </w:p>
    <w:p w14:paraId="7AFF6560"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13.</w:t>
      </w:r>
      <w:r w:rsidRPr="00A16A5A">
        <w:rPr>
          <w:rFonts w:ascii="Times New Roman" w:hAnsi="Times New Roman" w:cs="Times New Roman"/>
          <w:lang w:val="ru-RU"/>
        </w:rPr>
        <w:tab/>
        <w:t xml:space="preserve"> Додаткові договори укладаються та оформляються в тому самому порядку та формі, що і основні договори, крім договорів, укладених на організованих ринках.</w:t>
      </w:r>
    </w:p>
    <w:p w14:paraId="32E11773"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14.</w:t>
      </w:r>
      <w:r w:rsidRPr="00A16A5A">
        <w:rPr>
          <w:rFonts w:ascii="Times New Roman" w:hAnsi="Times New Roman" w:cs="Times New Roman"/>
          <w:lang w:val="ru-RU"/>
        </w:rPr>
        <w:tab/>
        <w:t xml:space="preserve"> Додатковий договір, крім умов договору, що змінюються, обов’язково повинен містити посилання на основний договір (договір, до якого додатковим договором вносяться зміни або який відповідно до додаткового договору буде розірваний).</w:t>
      </w:r>
    </w:p>
    <w:p w14:paraId="004D6F1F"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15.</w:t>
      </w:r>
      <w:r w:rsidRPr="00A16A5A">
        <w:rPr>
          <w:rFonts w:ascii="Times New Roman" w:hAnsi="Times New Roman" w:cs="Times New Roman"/>
          <w:lang w:val="ru-RU"/>
        </w:rPr>
        <w:tab/>
        <w:t xml:space="preserve"> Додаткові договори повинні мати нумерацію, яка б однозначно дозволяла їх ідентифікувати.</w:t>
      </w:r>
    </w:p>
    <w:p w14:paraId="35ACB1A8"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16. З моменту виконання першої частини операції РЕПО, розірвання договору РЕПО в односторонньому порядку внаслідок невиконання або неналежного виконання однією із сторін умов договору не потребує укладання додаткового договору.</w:t>
      </w:r>
    </w:p>
    <w:p w14:paraId="3D28591E"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17.</w:t>
      </w:r>
      <w:r w:rsidRPr="00A16A5A">
        <w:rPr>
          <w:rFonts w:ascii="Times New Roman" w:hAnsi="Times New Roman" w:cs="Times New Roman"/>
          <w:lang w:val="ru-RU"/>
        </w:rPr>
        <w:tab/>
        <w:t xml:space="preserve"> На організованому ринку укладання (вчинення) договорів, внесення змін до них або їх розірвання, виконання договорів здійснюються з дотриманням правил відповідного оператора організованого ринку.</w:t>
      </w:r>
    </w:p>
    <w:p w14:paraId="4FEFA904"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18.</w:t>
      </w:r>
      <w:r w:rsidRPr="00A16A5A">
        <w:rPr>
          <w:rFonts w:ascii="Times New Roman" w:hAnsi="Times New Roman" w:cs="Times New Roman"/>
          <w:lang w:val="ru-RU"/>
        </w:rPr>
        <w:tab/>
        <w:t xml:space="preserve"> Правочини щодо фінансових інструментів, що вчиняються за межами України вчинятися Інвестиційною фірмою відповідно до вимог законодавства країни їх вчинення.</w:t>
      </w:r>
    </w:p>
    <w:p w14:paraId="3833E57B"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19.</w:t>
      </w:r>
      <w:r w:rsidRPr="00A16A5A">
        <w:rPr>
          <w:rFonts w:ascii="Times New Roman" w:hAnsi="Times New Roman" w:cs="Times New Roman"/>
          <w:lang w:val="ru-RU"/>
        </w:rPr>
        <w:tab/>
        <w:t xml:space="preserve"> У випадку коли генеральний договір (інший договір, який містить результати проведеного оцінювання клієнта) укладається між Інвестиційною фірмою та іноземною інвестиційною фірмою він повинен відповідати вимогам законодавства країни де він укладається. Правочини щодо фінансових інструментів, що вчинятимуться на виконання такого договору, повинні вчинятися відповідно до вимог законодавства країни де вчиняються такі правочини.</w:t>
      </w:r>
    </w:p>
    <w:p w14:paraId="39F77028"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 xml:space="preserve">20. </w:t>
      </w:r>
      <w:r w:rsidRPr="00A16A5A">
        <w:rPr>
          <w:rFonts w:ascii="Times New Roman" w:hAnsi="Times New Roman" w:cs="Times New Roman"/>
          <w:lang w:val="ru-RU"/>
        </w:rPr>
        <w:tab/>
        <w:t>Провадження Інвестиційною фірмою брокерської діяльності за генеральними договорами з подальшим врегулюванням зобов'язань Клієнта здійснюється відповідно до нормативно-правових актів НКЦПФР щодо порядку та умов провадження Інвестиційною фірмою брокерської діяльності за генеральними договорами з подальшим врегулюванням зобов'язань клієнта.</w:t>
      </w:r>
    </w:p>
    <w:p w14:paraId="64968B84"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 xml:space="preserve">21. </w:t>
      </w:r>
      <w:r w:rsidRPr="00A16A5A">
        <w:rPr>
          <w:rFonts w:ascii="Times New Roman" w:hAnsi="Times New Roman" w:cs="Times New Roman"/>
          <w:lang w:val="ru-RU"/>
        </w:rPr>
        <w:tab/>
        <w:t>Вчинення правочинів інвестиційними фірмами для кожної з них є провадженням професійної діяльності з торгівлі фінансовими інструментами.</w:t>
      </w:r>
    </w:p>
    <w:p w14:paraId="7E7330C0" w14:textId="7E391536" w:rsid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22.</w:t>
      </w:r>
      <w:r w:rsidRPr="00A16A5A">
        <w:rPr>
          <w:rFonts w:ascii="Times New Roman" w:hAnsi="Times New Roman" w:cs="Times New Roman"/>
          <w:lang w:val="ru-RU"/>
        </w:rPr>
        <w:tab/>
        <w:t xml:space="preserve"> Договори купівлі-продажу, міни, позики фінансових інструментів, строкові контракти, можуть укладатись у письмовій формі у вигляді паперового документа, електронного документа або шляхом обміну зустрічними повідомленнями за допомогою засобів комунікацій, визначених генеральним договором або іншим договором, який містить результати проведеного Інвестиційною фірмою оцінювання клієнта. Такі договори, строкові контракти разом з генеральним договором або іншим договором, що містить результати проведеного Інвестиційною фірмою оцінювання клієнта, сукупно мають містити всі умови, відомості та реквізити, визначені Вимогами.</w:t>
      </w:r>
    </w:p>
    <w:p w14:paraId="6EEFAA5B" w14:textId="7B675B11" w:rsidR="0016257D" w:rsidRDefault="0016257D" w:rsidP="00675C04">
      <w:pPr>
        <w:spacing w:line="240" w:lineRule="auto"/>
        <w:rPr>
          <w:rFonts w:ascii="Times New Roman" w:hAnsi="Times New Roman" w:cs="Times New Roman"/>
          <w:lang w:val="ru-RU"/>
        </w:rPr>
      </w:pPr>
    </w:p>
    <w:p w14:paraId="471D9EAD" w14:textId="565D244B" w:rsidR="0016257D" w:rsidRDefault="0016257D" w:rsidP="00675C04">
      <w:pPr>
        <w:spacing w:line="240" w:lineRule="auto"/>
        <w:rPr>
          <w:rFonts w:ascii="Times New Roman" w:hAnsi="Times New Roman" w:cs="Times New Roman"/>
          <w:lang w:val="ru-RU"/>
        </w:rPr>
      </w:pPr>
    </w:p>
    <w:p w14:paraId="4E463C18" w14:textId="777C3F4E" w:rsidR="0016257D" w:rsidRDefault="0016257D" w:rsidP="00675C04">
      <w:pPr>
        <w:spacing w:line="240" w:lineRule="auto"/>
        <w:rPr>
          <w:rFonts w:ascii="Times New Roman" w:hAnsi="Times New Roman" w:cs="Times New Roman"/>
          <w:lang w:val="ru-RU"/>
        </w:rPr>
      </w:pPr>
    </w:p>
    <w:p w14:paraId="74958453" w14:textId="2702610F" w:rsidR="0016257D" w:rsidRDefault="0016257D" w:rsidP="00675C04">
      <w:pPr>
        <w:spacing w:line="240" w:lineRule="auto"/>
        <w:rPr>
          <w:rFonts w:ascii="Times New Roman" w:hAnsi="Times New Roman" w:cs="Times New Roman"/>
          <w:lang w:val="ru-RU"/>
        </w:rPr>
      </w:pPr>
    </w:p>
    <w:p w14:paraId="21524E7F" w14:textId="6D9A3401" w:rsidR="0016257D" w:rsidRDefault="0016257D" w:rsidP="00675C04">
      <w:pPr>
        <w:spacing w:line="240" w:lineRule="auto"/>
        <w:rPr>
          <w:rFonts w:ascii="Times New Roman" w:hAnsi="Times New Roman" w:cs="Times New Roman"/>
          <w:lang w:val="ru-RU"/>
        </w:rPr>
      </w:pPr>
    </w:p>
    <w:p w14:paraId="4FC9EA59" w14:textId="10302609" w:rsidR="0016257D" w:rsidRDefault="0016257D" w:rsidP="00675C04">
      <w:pPr>
        <w:spacing w:line="240" w:lineRule="auto"/>
        <w:rPr>
          <w:rFonts w:ascii="Times New Roman" w:hAnsi="Times New Roman" w:cs="Times New Roman"/>
          <w:lang w:val="ru-RU"/>
        </w:rPr>
      </w:pPr>
    </w:p>
    <w:p w14:paraId="222FE89C" w14:textId="22FB6B23" w:rsidR="0016257D" w:rsidRDefault="0016257D" w:rsidP="00675C04">
      <w:pPr>
        <w:spacing w:line="240" w:lineRule="auto"/>
        <w:rPr>
          <w:rFonts w:ascii="Times New Roman" w:hAnsi="Times New Roman" w:cs="Times New Roman"/>
          <w:lang w:val="ru-RU"/>
        </w:rPr>
      </w:pPr>
    </w:p>
    <w:p w14:paraId="2249D59D" w14:textId="0594AED9" w:rsidR="0016257D" w:rsidRDefault="0016257D" w:rsidP="00675C04">
      <w:pPr>
        <w:spacing w:line="240" w:lineRule="auto"/>
        <w:rPr>
          <w:rFonts w:ascii="Times New Roman" w:hAnsi="Times New Roman" w:cs="Times New Roman"/>
          <w:lang w:val="ru-RU"/>
        </w:rPr>
      </w:pPr>
    </w:p>
    <w:p w14:paraId="340460E6" w14:textId="27061586" w:rsidR="0016257D" w:rsidRDefault="0016257D" w:rsidP="00675C04">
      <w:pPr>
        <w:spacing w:line="240" w:lineRule="auto"/>
        <w:rPr>
          <w:rFonts w:ascii="Times New Roman" w:hAnsi="Times New Roman" w:cs="Times New Roman"/>
          <w:lang w:val="ru-RU"/>
        </w:rPr>
      </w:pPr>
    </w:p>
    <w:p w14:paraId="2F747179" w14:textId="213206DA" w:rsidR="0016257D" w:rsidRDefault="0016257D" w:rsidP="00675C04">
      <w:pPr>
        <w:spacing w:line="240" w:lineRule="auto"/>
        <w:rPr>
          <w:rFonts w:ascii="Times New Roman" w:hAnsi="Times New Roman" w:cs="Times New Roman"/>
          <w:lang w:val="ru-RU"/>
        </w:rPr>
      </w:pPr>
    </w:p>
    <w:p w14:paraId="173D8F26" w14:textId="77777777" w:rsidR="0016257D" w:rsidRPr="00A16A5A" w:rsidRDefault="0016257D" w:rsidP="00675C04">
      <w:pPr>
        <w:spacing w:line="240" w:lineRule="auto"/>
        <w:rPr>
          <w:rFonts w:ascii="Times New Roman" w:hAnsi="Times New Roman" w:cs="Times New Roman"/>
          <w:lang w:val="ru-RU"/>
        </w:rPr>
      </w:pPr>
    </w:p>
    <w:p w14:paraId="242221E0" w14:textId="77777777" w:rsidR="00A16A5A" w:rsidRPr="00A16A5A" w:rsidRDefault="00A16A5A" w:rsidP="009F133D">
      <w:pPr>
        <w:spacing w:line="240" w:lineRule="auto"/>
        <w:ind w:left="6096"/>
        <w:rPr>
          <w:rFonts w:ascii="Times New Roman" w:hAnsi="Times New Roman" w:cs="Times New Roman"/>
          <w:lang w:val="ru-RU"/>
        </w:rPr>
      </w:pPr>
      <w:r w:rsidRPr="00A16A5A">
        <w:rPr>
          <w:rFonts w:ascii="Times New Roman" w:hAnsi="Times New Roman" w:cs="Times New Roman"/>
          <w:b/>
          <w:bCs/>
          <w:lang w:val="ru-RU"/>
        </w:rPr>
        <w:t xml:space="preserve">Додаток № 1 до Порядку вчинення </w:t>
      </w:r>
      <w:r w:rsidRPr="00A16A5A">
        <w:rPr>
          <w:rFonts w:ascii="Times New Roman" w:hAnsi="Times New Roman" w:cs="Times New Roman"/>
          <w:b/>
          <w:bCs/>
          <w:lang w:val="ru-RU"/>
        </w:rPr>
        <w:br/>
        <w:t>правочинів щодо фінансових інструментів</w:t>
      </w:r>
    </w:p>
    <w:p w14:paraId="4C7A460C" w14:textId="77777777" w:rsidR="00A16A5A" w:rsidRPr="00A16A5A" w:rsidRDefault="00A16A5A" w:rsidP="00675C04">
      <w:pPr>
        <w:spacing w:line="240" w:lineRule="auto"/>
        <w:rPr>
          <w:rFonts w:ascii="Times New Roman" w:hAnsi="Times New Roman" w:cs="Times New Roman"/>
          <w:lang w:val="ru-RU"/>
        </w:rPr>
      </w:pPr>
    </w:p>
    <w:p w14:paraId="6A36C5F4" w14:textId="4AD73C53" w:rsidR="009F133D" w:rsidRPr="009F133D" w:rsidRDefault="009F133D" w:rsidP="009F133D">
      <w:pPr>
        <w:pStyle w:val="ac"/>
        <w:jc w:val="center"/>
        <w:rPr>
          <w:rFonts w:ascii="Times New Roman" w:hAnsi="Times New Roman" w:cs="Times New Roman"/>
          <w:b/>
          <w:bCs/>
          <w:lang w:val="ru-RU"/>
        </w:rPr>
      </w:pPr>
      <w:r w:rsidRPr="009F133D">
        <w:rPr>
          <w:rFonts w:ascii="Times New Roman" w:hAnsi="Times New Roman" w:cs="Times New Roman"/>
          <w:b/>
          <w:bCs/>
          <w:lang w:val="ru-RU"/>
        </w:rPr>
        <w:t>ГЕНЕРАЛЬНИЙ ДОГОВІР</w:t>
      </w:r>
    </w:p>
    <w:p w14:paraId="52551C26" w14:textId="3E3220A2" w:rsidR="009F133D" w:rsidRPr="009F133D" w:rsidRDefault="009F133D" w:rsidP="009F133D">
      <w:pPr>
        <w:pStyle w:val="ac"/>
        <w:jc w:val="center"/>
        <w:rPr>
          <w:rFonts w:ascii="Times New Roman" w:hAnsi="Times New Roman" w:cs="Times New Roman"/>
          <w:b/>
          <w:bCs/>
          <w:lang w:val="ru-RU"/>
        </w:rPr>
      </w:pPr>
      <w:r w:rsidRPr="009F133D">
        <w:rPr>
          <w:rFonts w:ascii="Times New Roman" w:hAnsi="Times New Roman" w:cs="Times New Roman"/>
          <w:b/>
          <w:bCs/>
          <w:lang w:val="ru-RU"/>
        </w:rPr>
        <w:t>ПРО НАДАННЯ ІНВЕСТИЦІЙНИХ ПОСЛУГ</w:t>
      </w:r>
    </w:p>
    <w:p w14:paraId="2625B6F9" w14:textId="5E33A475" w:rsidR="009F133D" w:rsidRPr="009F133D" w:rsidRDefault="0016257D" w:rsidP="0016257D">
      <w:pPr>
        <w:jc w:val="center"/>
        <w:rPr>
          <w:rFonts w:ascii="Times New Roman" w:hAnsi="Times New Roman" w:cs="Times New Roman"/>
          <w:b/>
          <w:bCs/>
          <w:lang w:val="ru-RU"/>
        </w:rPr>
      </w:pPr>
      <w:r w:rsidRPr="0016257D">
        <w:rPr>
          <w:rFonts w:ascii="Times New Roman" w:hAnsi="Times New Roman" w:cs="Times New Roman"/>
          <w:b/>
          <w:bCs/>
          <w:lang w:val="ru-RU"/>
        </w:rPr>
        <w:t>ТОВ "ПРДТ ФОНДОВИЙ ЦЕНТР"</w:t>
      </w:r>
    </w:p>
    <w:p w14:paraId="0FE927C8" w14:textId="77777777" w:rsidR="009F133D" w:rsidRPr="009F133D" w:rsidRDefault="009F133D" w:rsidP="009F133D">
      <w:pPr>
        <w:pStyle w:val="ac"/>
        <w:jc w:val="center"/>
        <w:rPr>
          <w:rFonts w:ascii="Times New Roman" w:hAnsi="Times New Roman" w:cs="Times New Roman"/>
          <w:b/>
          <w:bCs/>
          <w:lang w:val="ru-RU"/>
        </w:rPr>
      </w:pPr>
      <w:r w:rsidRPr="009F133D">
        <w:rPr>
          <w:rFonts w:ascii="Times New Roman" w:hAnsi="Times New Roman" w:cs="Times New Roman"/>
          <w:b/>
          <w:bCs/>
          <w:lang w:val="ru-RU"/>
        </w:rPr>
        <w:t>(публічна частина)</w:t>
      </w:r>
    </w:p>
    <w:p w14:paraId="07B2E800" w14:textId="241AB095" w:rsidR="009F133D" w:rsidRDefault="009F133D" w:rsidP="009F133D">
      <w:pPr>
        <w:spacing w:line="240" w:lineRule="auto"/>
        <w:rPr>
          <w:rFonts w:ascii="Times New Roman" w:hAnsi="Times New Roman" w:cs="Times New Roman"/>
          <w:b/>
          <w:bCs/>
          <w:lang w:val="ru-RU"/>
        </w:rPr>
      </w:pPr>
      <w:r w:rsidRPr="009F133D">
        <w:rPr>
          <w:rFonts w:ascii="Times New Roman" w:hAnsi="Times New Roman" w:cs="Times New Roman"/>
          <w:b/>
          <w:bCs/>
          <w:lang w:val="ru-RU"/>
        </w:rPr>
        <w:br/>
        <w:t>ПОРЯДОК ТА УМОВИ УКЛАДАННЯ ГЕНЕРАЛЬНОГО ДОГОВОРУ</w:t>
      </w:r>
    </w:p>
    <w:p w14:paraId="26BDC904" w14:textId="6AC83C90" w:rsidR="009F133D" w:rsidRPr="009F133D" w:rsidRDefault="009F133D" w:rsidP="009F133D">
      <w:pPr>
        <w:spacing w:line="240" w:lineRule="auto"/>
        <w:rPr>
          <w:rFonts w:ascii="Times New Roman" w:hAnsi="Times New Roman" w:cs="Times New Roman"/>
          <w:lang w:val="ru-RU"/>
        </w:rPr>
      </w:pPr>
      <w:r w:rsidRPr="009F133D">
        <w:rPr>
          <w:rFonts w:ascii="Times New Roman" w:hAnsi="Times New Roman" w:cs="Times New Roman"/>
          <w:lang w:val="ru-RU"/>
        </w:rPr>
        <w:t xml:space="preserve">1.1. Генеральний договір про надання інвестиційних послуг  (надалі – Генеральний договір) є публічною офертою Інвестиційної фірми </w:t>
      </w:r>
      <w:r w:rsidR="00773E8B">
        <w:rPr>
          <w:rFonts w:ascii="Times New Roman" w:hAnsi="Times New Roman" w:cs="Times New Roman"/>
          <w:lang w:val="ru-RU"/>
        </w:rPr>
        <w:t xml:space="preserve">ТОВ "ПРДТ ФОНДОВИЙ ЦЕНТР" </w:t>
      </w:r>
      <w:r w:rsidRPr="009F133D">
        <w:rPr>
          <w:rFonts w:ascii="Times New Roman" w:hAnsi="Times New Roman" w:cs="Times New Roman"/>
          <w:lang w:val="ru-RU"/>
        </w:rPr>
        <w:t xml:space="preserve"> (код ЄДРПОУ </w:t>
      </w:r>
      <w:r w:rsidR="00773E8B">
        <w:rPr>
          <w:rFonts w:ascii="Times New Roman" w:hAnsi="Times New Roman" w:cs="Times New Roman"/>
          <w:lang w:val="ru-RU"/>
        </w:rPr>
        <w:t>22452796</w:t>
      </w:r>
      <w:r w:rsidRPr="009F133D">
        <w:rPr>
          <w:rFonts w:ascii="Times New Roman" w:hAnsi="Times New Roman" w:cs="Times New Roman"/>
          <w:lang w:val="ru-RU"/>
        </w:rPr>
        <w:t>, місцезнаходження</w:t>
      </w:r>
      <w:r w:rsidR="00773E8B">
        <w:rPr>
          <w:rFonts w:ascii="Times New Roman" w:hAnsi="Times New Roman" w:cs="Times New Roman"/>
          <w:lang w:val="ru-RU"/>
        </w:rPr>
        <w:t>: м. Одеса, вул. Макаренка, 2-а, прим. 3)</w:t>
      </w:r>
      <w:r w:rsidRPr="009F133D">
        <w:rPr>
          <w:rFonts w:ascii="Times New Roman" w:hAnsi="Times New Roman" w:cs="Times New Roman"/>
          <w:lang w:val="ru-RU"/>
        </w:rPr>
        <w:t xml:space="preserve"> та укладається виключно шляхом приєднання до нього особи, що має намір отримати інвестиційні послуги, в  порядку, визначеному ст. 634 Цивільного кодексу України. </w:t>
      </w:r>
    </w:p>
    <w:p w14:paraId="59D55ACE" w14:textId="3C68CD44" w:rsidR="009F133D" w:rsidRPr="009F133D" w:rsidRDefault="00773E8B" w:rsidP="009F133D">
      <w:pPr>
        <w:pStyle w:val="ac"/>
        <w:rPr>
          <w:rFonts w:ascii="Times New Roman" w:hAnsi="Times New Roman" w:cs="Times New Roman"/>
          <w:lang w:val="ru-RU"/>
        </w:rPr>
      </w:pPr>
      <w:r>
        <w:rPr>
          <w:lang w:val="ru-RU"/>
        </w:rPr>
        <w:t>1.</w:t>
      </w:r>
      <w:r>
        <w:rPr>
          <w:rFonts w:ascii="Times New Roman" w:hAnsi="Times New Roman" w:cs="Times New Roman"/>
          <w:lang w:val="ru-RU"/>
        </w:rPr>
        <w:t>2.</w:t>
      </w:r>
      <w:r>
        <w:rPr>
          <w:lang w:val="ru-RU"/>
        </w:rPr>
        <w:t xml:space="preserve">  </w:t>
      </w:r>
      <w:r w:rsidR="009F133D" w:rsidRPr="009F133D">
        <w:rPr>
          <w:rFonts w:ascii="Times New Roman" w:hAnsi="Times New Roman" w:cs="Times New Roman"/>
          <w:lang w:val="ru-RU"/>
        </w:rPr>
        <w:t>Генеральний договір складається з двох частин: </w:t>
      </w:r>
    </w:p>
    <w:p w14:paraId="690989CE" w14:textId="7B4C4918" w:rsidR="009F133D" w:rsidRPr="009F133D" w:rsidRDefault="00773E8B" w:rsidP="00773E8B">
      <w:pPr>
        <w:pStyle w:val="ac"/>
        <w:ind w:firstLine="567"/>
        <w:rPr>
          <w:rFonts w:ascii="Times New Roman" w:hAnsi="Times New Roman" w:cs="Times New Roman"/>
          <w:lang w:val="ru-RU"/>
        </w:rPr>
      </w:pPr>
      <w:r>
        <w:rPr>
          <w:rFonts w:ascii="Times New Roman" w:hAnsi="Times New Roman" w:cs="Times New Roman"/>
          <w:lang w:val="ru-RU"/>
        </w:rPr>
        <w:t>-</w:t>
      </w:r>
      <w:r w:rsidR="009F133D" w:rsidRPr="009F133D">
        <w:rPr>
          <w:rFonts w:ascii="Times New Roman" w:hAnsi="Times New Roman" w:cs="Times New Roman"/>
          <w:lang w:val="ru-RU"/>
        </w:rPr>
        <w:t>Генерального договору про надання інвестиційних послуг (публічна  частина) (надалі - Генеральний договір (публічна частина)), </w:t>
      </w:r>
    </w:p>
    <w:p w14:paraId="2DF89AD3" w14:textId="389D184D" w:rsidR="009F133D" w:rsidRDefault="00773E8B" w:rsidP="00773E8B">
      <w:pPr>
        <w:pStyle w:val="ac"/>
        <w:ind w:firstLine="567"/>
        <w:rPr>
          <w:rFonts w:ascii="Times New Roman" w:hAnsi="Times New Roman" w:cs="Times New Roman"/>
          <w:lang w:val="ru-RU"/>
        </w:rPr>
      </w:pPr>
      <w:r>
        <w:rPr>
          <w:rFonts w:ascii="Times New Roman" w:hAnsi="Times New Roman" w:cs="Times New Roman"/>
          <w:lang w:val="ru-RU"/>
        </w:rPr>
        <w:t>-</w:t>
      </w:r>
      <w:r w:rsidR="009F133D" w:rsidRPr="009F133D">
        <w:rPr>
          <w:rFonts w:ascii="Times New Roman" w:hAnsi="Times New Roman" w:cs="Times New Roman"/>
          <w:lang w:val="ru-RU"/>
        </w:rPr>
        <w:t>Генерального договору про надання інвестиційних послуг (індивідуальна частина) (надалі - Генеральний договір (індивідуальна частина)) та які є єдиним Генеральним договором. </w:t>
      </w:r>
    </w:p>
    <w:p w14:paraId="68BB415E" w14:textId="77777777" w:rsidR="00773E8B" w:rsidRPr="009F133D" w:rsidRDefault="00773E8B" w:rsidP="00773E8B">
      <w:pPr>
        <w:pStyle w:val="ac"/>
        <w:ind w:firstLine="567"/>
        <w:rPr>
          <w:rFonts w:ascii="Times New Roman" w:hAnsi="Times New Roman" w:cs="Times New Roman"/>
          <w:lang w:val="ru-RU"/>
        </w:rPr>
      </w:pPr>
    </w:p>
    <w:p w14:paraId="35585536" w14:textId="6E7738AC" w:rsidR="009F133D" w:rsidRPr="009F133D" w:rsidRDefault="009F133D" w:rsidP="0016257D">
      <w:pPr>
        <w:rPr>
          <w:rFonts w:ascii="Times New Roman" w:hAnsi="Times New Roman" w:cs="Times New Roman"/>
          <w:lang w:val="ru-RU"/>
        </w:rPr>
      </w:pPr>
      <w:r w:rsidRPr="009F133D">
        <w:rPr>
          <w:rFonts w:ascii="Times New Roman" w:hAnsi="Times New Roman" w:cs="Times New Roman"/>
          <w:lang w:val="ru-RU"/>
        </w:rPr>
        <w:t xml:space="preserve">1.3. Особа, яка приймає (акцептує) пропозицію (оферту) приєднання до Генерального договору в цілому, підписує з Інвестиційною фірмою </w:t>
      </w:r>
      <w:r w:rsidR="0016257D" w:rsidRPr="0016257D">
        <w:rPr>
          <w:rFonts w:ascii="Times New Roman" w:hAnsi="Times New Roman" w:cs="Times New Roman"/>
          <w:lang w:val="ru-RU"/>
        </w:rPr>
        <w:t xml:space="preserve">ТОВ "ПРДТ ФОНДОВИЙ ЦЕНТР" </w:t>
      </w:r>
      <w:r w:rsidRPr="009F133D">
        <w:rPr>
          <w:rFonts w:ascii="Times New Roman" w:hAnsi="Times New Roman" w:cs="Times New Roman"/>
          <w:lang w:val="ru-RU"/>
        </w:rPr>
        <w:t>(надалі – Інвестиційна фірма) Генеральний договір про надання інвестиційних послуг (індивідуальна частина) у 2 (двох) примірниках, згідно форми, що розміщена на офіційному сайті https://__________________________, яка є невід’ємною частиною Генерального договору, за адресою здійснення професійної діяльності Інвестиційною фірмою: __________________________</w:t>
      </w:r>
    </w:p>
    <w:p w14:paraId="18C9DA2D" w14:textId="11C93271" w:rsidR="009F133D" w:rsidRPr="009F133D" w:rsidRDefault="009F133D" w:rsidP="009F133D">
      <w:pPr>
        <w:spacing w:line="240" w:lineRule="auto"/>
        <w:rPr>
          <w:rFonts w:ascii="Times New Roman" w:hAnsi="Times New Roman" w:cs="Times New Roman"/>
          <w:lang w:val="ru-RU"/>
        </w:rPr>
      </w:pPr>
      <w:r w:rsidRPr="009F133D">
        <w:rPr>
          <w:rFonts w:ascii="Times New Roman" w:hAnsi="Times New Roman" w:cs="Times New Roman"/>
          <w:lang w:val="ru-RU"/>
        </w:rPr>
        <w:t>1.4. Розміщення Генерального договору на сайті Інвестиційної фірми (https://____________) є публічною пропозицією (офертою) Інвестиційної фірми, адресована всім без обмеження зацікавленим особам, які є резидентами або нерезидентами, укласти з Інвестиційною фірмою Генеральний договір на умовах, викладених в ньому.</w:t>
      </w:r>
    </w:p>
    <w:p w14:paraId="12C3B6DC" w14:textId="6EA0C8ED" w:rsidR="009F133D" w:rsidRPr="009F133D" w:rsidRDefault="009F133D" w:rsidP="009F133D">
      <w:pPr>
        <w:spacing w:line="240" w:lineRule="auto"/>
        <w:rPr>
          <w:rFonts w:ascii="Times New Roman" w:hAnsi="Times New Roman" w:cs="Times New Roman"/>
          <w:lang w:val="ru-RU"/>
        </w:rPr>
      </w:pPr>
      <w:r w:rsidRPr="009F133D">
        <w:rPr>
          <w:rFonts w:ascii="Times New Roman" w:hAnsi="Times New Roman" w:cs="Times New Roman"/>
          <w:lang w:val="ru-RU"/>
        </w:rPr>
        <w:t>1.5.  Договір вважається укладеним після отримання Інвестиційною фірмою від Клієнта підписаного Генерального договору (індивідуальна частина), та реєстрації Інвестиційною фірмою Генерального договору (індивідуальна частина) шляхом присвоєння індивідуального номеру. Після укладення: один примірник Генерального договору (індивідуальна частина) залишається в Інвестиційній фірмі, один примірник – повертається Клієнту. На вимогу депозитарної установи Клієнта, Сторони зобов’язані підписати додатковий примірник Генерального договору (індивідуальна частина).</w:t>
      </w:r>
    </w:p>
    <w:p w14:paraId="794AC679" w14:textId="29492EED" w:rsidR="009F133D" w:rsidRPr="009F133D" w:rsidRDefault="009F133D" w:rsidP="009F133D">
      <w:pPr>
        <w:spacing w:line="240" w:lineRule="auto"/>
        <w:rPr>
          <w:rFonts w:ascii="Times New Roman" w:hAnsi="Times New Roman" w:cs="Times New Roman"/>
          <w:lang w:val="ru-RU"/>
        </w:rPr>
      </w:pPr>
      <w:r w:rsidRPr="009F133D">
        <w:rPr>
          <w:rFonts w:ascii="Times New Roman" w:hAnsi="Times New Roman" w:cs="Times New Roman"/>
          <w:lang w:val="ru-RU"/>
        </w:rPr>
        <w:t>1.6. При укладенні Генерального договору кожна зі Сторін повинна надати іншій Стороні на вимогу засвідчені у встановленому порядку копії документів, що підтверджують правовий статус, обов’язкові реквізити та повноваження осіб, що укладають Генеральний договір.</w:t>
      </w:r>
    </w:p>
    <w:p w14:paraId="7C25103D" w14:textId="46158F5C" w:rsidR="009F133D" w:rsidRPr="009F133D" w:rsidRDefault="009F133D" w:rsidP="009F133D">
      <w:pPr>
        <w:spacing w:line="240" w:lineRule="auto"/>
        <w:rPr>
          <w:rFonts w:ascii="Times New Roman" w:hAnsi="Times New Roman" w:cs="Times New Roman"/>
          <w:b/>
          <w:bCs/>
          <w:lang w:val="ru-RU"/>
        </w:rPr>
      </w:pPr>
      <w:r w:rsidRPr="009F133D">
        <w:rPr>
          <w:rFonts w:ascii="Times New Roman" w:hAnsi="Times New Roman" w:cs="Times New Roman"/>
          <w:lang w:val="ru-RU"/>
        </w:rPr>
        <w:t>1.7. Порядок внесення змін та припинення дії Генерального договору визначені в Генеральному договорі (індивідуальна частина</w:t>
      </w:r>
      <w:r w:rsidR="00BC1FB4">
        <w:rPr>
          <w:rFonts w:ascii="Times New Roman" w:hAnsi="Times New Roman" w:cs="Times New Roman"/>
          <w:lang w:val="ru-RU"/>
        </w:rPr>
        <w:t>.</w:t>
      </w:r>
    </w:p>
    <w:p w14:paraId="5F2A48AE" w14:textId="77777777" w:rsidR="00A16A5A" w:rsidRPr="00A16A5A" w:rsidRDefault="00A16A5A" w:rsidP="007F51DB">
      <w:pPr>
        <w:numPr>
          <w:ilvl w:val="0"/>
          <w:numId w:val="1"/>
        </w:numPr>
        <w:spacing w:line="240" w:lineRule="auto"/>
        <w:jc w:val="center"/>
        <w:rPr>
          <w:rFonts w:ascii="Times New Roman" w:hAnsi="Times New Roman" w:cs="Times New Roman"/>
          <w:b/>
          <w:bCs/>
          <w:lang w:val="ru-RU"/>
        </w:rPr>
      </w:pPr>
      <w:r w:rsidRPr="00A16A5A">
        <w:rPr>
          <w:rFonts w:ascii="Times New Roman" w:hAnsi="Times New Roman" w:cs="Times New Roman"/>
          <w:b/>
          <w:bCs/>
          <w:lang w:val="ru-RU"/>
        </w:rPr>
        <w:t>ПЕРЕЛІК ІНВЕСТИЦІЙНИХ ПОСЛУГ, ЯКІ МОЖУТЬ НАДАВАТИСЯ КЛІЄНТУ</w:t>
      </w:r>
    </w:p>
    <w:p w14:paraId="743313C6" w14:textId="6872C8E6" w:rsidR="00A16A5A" w:rsidRPr="00A16A5A" w:rsidRDefault="00A16A5A" w:rsidP="007F51DB">
      <w:pPr>
        <w:numPr>
          <w:ilvl w:val="0"/>
          <w:numId w:val="2"/>
        </w:numPr>
        <w:tabs>
          <w:tab w:val="clear" w:pos="720"/>
          <w:tab w:val="num" w:pos="360"/>
        </w:tabs>
        <w:spacing w:line="240" w:lineRule="auto"/>
        <w:ind w:left="0" w:firstLine="360"/>
        <w:rPr>
          <w:rFonts w:ascii="Times New Roman" w:hAnsi="Times New Roman" w:cs="Times New Roman"/>
          <w:lang w:val="ru-RU"/>
        </w:rPr>
      </w:pPr>
      <w:r w:rsidRPr="00A16A5A">
        <w:rPr>
          <w:rFonts w:ascii="Times New Roman" w:hAnsi="Times New Roman" w:cs="Times New Roman"/>
          <w:lang w:val="ru-RU"/>
        </w:rPr>
        <w:t xml:space="preserve">Інвестиційна фірма у відповідності до цього Генерального договору може надавати Клієнту інвестиційні послуги  на підставі ліцензії Національної комісії з цінних паперів та фондового ринку </w:t>
      </w:r>
      <w:r w:rsidR="00BC1FB4" w:rsidRPr="00BC1FB4">
        <w:rPr>
          <w:rFonts w:ascii="Times New Roman" w:hAnsi="Times New Roman" w:cs="Times New Roman"/>
          <w:lang w:val="ru-RU"/>
        </w:rPr>
        <w:t>на здійснення професійної діяльності на фондовому ринку – брокерської діяльності серії АЕ № 286880, дата видачі ліцензії 20.05.2014 р., строк дії ліцензії з 12.11.2013 р.</w:t>
      </w:r>
      <w:r w:rsidR="00BC1FB4">
        <w:rPr>
          <w:rFonts w:ascii="Times New Roman" w:hAnsi="Times New Roman" w:cs="Times New Roman"/>
          <w:lang w:val="ru-RU"/>
        </w:rPr>
        <w:t>н</w:t>
      </w:r>
      <w:r w:rsidR="00BC1FB4" w:rsidRPr="00BC1FB4">
        <w:rPr>
          <w:rFonts w:ascii="Times New Roman" w:hAnsi="Times New Roman" w:cs="Times New Roman"/>
          <w:lang w:val="ru-RU"/>
        </w:rPr>
        <w:t>еобмежений</w:t>
      </w:r>
      <w:r w:rsidR="00BC1FB4">
        <w:rPr>
          <w:rFonts w:ascii="Times New Roman" w:hAnsi="Times New Roman" w:cs="Times New Roman"/>
          <w:lang w:val="ru-RU"/>
        </w:rPr>
        <w:t>.</w:t>
      </w:r>
    </w:p>
    <w:p w14:paraId="668A8797" w14:textId="77777777" w:rsidR="00A16A5A" w:rsidRPr="00A16A5A" w:rsidRDefault="00A16A5A" w:rsidP="007F51DB">
      <w:pPr>
        <w:numPr>
          <w:ilvl w:val="0"/>
          <w:numId w:val="2"/>
        </w:numPr>
        <w:tabs>
          <w:tab w:val="clear" w:pos="720"/>
          <w:tab w:val="num" w:pos="360"/>
        </w:tabs>
        <w:spacing w:line="240" w:lineRule="auto"/>
        <w:ind w:left="0" w:firstLine="360"/>
        <w:rPr>
          <w:rFonts w:ascii="Times New Roman" w:hAnsi="Times New Roman" w:cs="Times New Roman"/>
          <w:lang w:val="ru-RU"/>
        </w:rPr>
      </w:pPr>
      <w:r w:rsidRPr="00A16A5A">
        <w:rPr>
          <w:rFonts w:ascii="Times New Roman" w:hAnsi="Times New Roman" w:cs="Times New Roman"/>
          <w:lang w:val="ru-RU"/>
        </w:rPr>
        <w:t xml:space="preserve">Інвестиційна фірма може надавати Клієнту додаткові послуги, зокрема, інвестиційні поради, консультаційні послуги щодо вартості фінансових інструментів, умов їх обігу тощо, а також здійснювати інші </w:t>
      </w:r>
      <w:r w:rsidRPr="00A16A5A">
        <w:rPr>
          <w:rFonts w:ascii="Times New Roman" w:hAnsi="Times New Roman" w:cs="Times New Roman"/>
          <w:lang w:val="ru-RU"/>
        </w:rPr>
        <w:lastRenderedPageBreak/>
        <w:t>дії, які необхідні відповідно до умов цього Генерального договору та/або діючого законодавства України, в разі укладення додаткового договору.</w:t>
      </w:r>
    </w:p>
    <w:p w14:paraId="41475947" w14:textId="6A953FF2" w:rsidR="00A16A5A" w:rsidRPr="00A16A5A" w:rsidRDefault="00A16A5A" w:rsidP="00BC1FB4">
      <w:pPr>
        <w:spacing w:line="240" w:lineRule="auto"/>
        <w:jc w:val="center"/>
        <w:rPr>
          <w:rFonts w:ascii="Times New Roman" w:hAnsi="Times New Roman" w:cs="Times New Roman"/>
          <w:b/>
          <w:bCs/>
          <w:lang w:val="ru-RU"/>
        </w:rPr>
      </w:pPr>
      <w:r w:rsidRPr="00A16A5A">
        <w:rPr>
          <w:rFonts w:ascii="Times New Roman" w:hAnsi="Times New Roman" w:cs="Times New Roman"/>
          <w:lang w:val="ru-RU"/>
        </w:rPr>
        <w:br/>
      </w:r>
      <w:r w:rsidR="00BC1FB4">
        <w:rPr>
          <w:rFonts w:ascii="Times New Roman" w:hAnsi="Times New Roman" w:cs="Times New Roman"/>
          <w:b/>
          <w:bCs/>
          <w:lang w:val="ru-RU"/>
        </w:rPr>
        <w:t xml:space="preserve">3. </w:t>
      </w:r>
      <w:r w:rsidRPr="00A16A5A">
        <w:rPr>
          <w:rFonts w:ascii="Times New Roman" w:hAnsi="Times New Roman" w:cs="Times New Roman"/>
          <w:b/>
          <w:bCs/>
          <w:lang w:val="ru-RU"/>
        </w:rPr>
        <w:t>ПОРЯДОК, СПОСІБ ТА ФОРМА НАДАННЯ КЛІЄНТОМ ЗАМОВЛЕНЬ</w:t>
      </w:r>
    </w:p>
    <w:p w14:paraId="6938D5ED" w14:textId="537CACFF" w:rsidR="00A16A5A" w:rsidRPr="00BC1FB4" w:rsidRDefault="00BC1FB4" w:rsidP="00BC1FB4">
      <w:pPr>
        <w:pStyle w:val="ac"/>
        <w:ind w:firstLine="567"/>
        <w:rPr>
          <w:rFonts w:ascii="Times New Roman" w:hAnsi="Times New Roman" w:cs="Times New Roman"/>
          <w:lang w:val="ru-RU"/>
        </w:rPr>
      </w:pPr>
      <w:r w:rsidRPr="00BC1FB4">
        <w:rPr>
          <w:rFonts w:ascii="Times New Roman" w:hAnsi="Times New Roman" w:cs="Times New Roman"/>
          <w:lang w:val="ru-RU"/>
        </w:rPr>
        <w:t xml:space="preserve">3.1. </w:t>
      </w:r>
      <w:r w:rsidR="00A16A5A" w:rsidRPr="00BC1FB4">
        <w:rPr>
          <w:rFonts w:ascii="Times New Roman" w:hAnsi="Times New Roman" w:cs="Times New Roman"/>
          <w:lang w:val="ru-RU"/>
        </w:rPr>
        <w:t>Здійснення Інвестиційною фірмою дій з фінансовими інструментами, що передбачені умовами цього Генерального договору, підтверджується наданням Клієнтом Замовлень.</w:t>
      </w:r>
    </w:p>
    <w:p w14:paraId="4473DCD5" w14:textId="710594DD" w:rsidR="00A16A5A" w:rsidRPr="00BC1FB4" w:rsidRDefault="00BC1FB4" w:rsidP="00BC1FB4">
      <w:pPr>
        <w:pStyle w:val="ac"/>
        <w:ind w:firstLine="567"/>
        <w:rPr>
          <w:rFonts w:ascii="Times New Roman" w:hAnsi="Times New Roman" w:cs="Times New Roman"/>
          <w:lang w:val="ru-RU"/>
        </w:rPr>
      </w:pPr>
      <w:r w:rsidRPr="00BC1FB4">
        <w:rPr>
          <w:rFonts w:ascii="Times New Roman" w:hAnsi="Times New Roman" w:cs="Times New Roman"/>
          <w:lang w:val="ru-RU"/>
        </w:rPr>
        <w:t xml:space="preserve">3.2.. </w:t>
      </w:r>
      <w:r w:rsidR="00A16A5A" w:rsidRPr="00BC1FB4">
        <w:rPr>
          <w:rFonts w:ascii="Times New Roman" w:hAnsi="Times New Roman" w:cs="Times New Roman"/>
          <w:lang w:val="ru-RU"/>
        </w:rPr>
        <w:t>Замовлення має містити розпорядження Інвестиційній фірмі на визначених умовах виконати певну операцію з конкретними фінансовими інструментами від імені в інтересах та за рахунок Клієнта, відповідно до умов цього Генерального договору.</w:t>
      </w:r>
    </w:p>
    <w:p w14:paraId="2BEBBB43" w14:textId="7E2CE781" w:rsidR="00A16A5A" w:rsidRPr="00BC1FB4" w:rsidRDefault="00BC1FB4" w:rsidP="00BC1FB4">
      <w:pPr>
        <w:pStyle w:val="ac"/>
        <w:ind w:firstLine="567"/>
        <w:rPr>
          <w:rFonts w:ascii="Times New Roman" w:hAnsi="Times New Roman" w:cs="Times New Roman"/>
          <w:lang w:val="ru-RU"/>
        </w:rPr>
      </w:pPr>
      <w:r w:rsidRPr="00BC1FB4">
        <w:rPr>
          <w:rFonts w:ascii="Times New Roman" w:hAnsi="Times New Roman" w:cs="Times New Roman"/>
          <w:lang w:val="ru-RU"/>
        </w:rPr>
        <w:t xml:space="preserve">3.3. </w:t>
      </w:r>
      <w:r w:rsidR="00A16A5A" w:rsidRPr="00BC1FB4">
        <w:rPr>
          <w:rFonts w:ascii="Times New Roman" w:hAnsi="Times New Roman" w:cs="Times New Roman"/>
          <w:lang w:val="ru-RU"/>
        </w:rPr>
        <w:t>Замовлення має містити вид, який може бути виражений відповідним скороченням, та означає наступні умови: </w:t>
      </w:r>
    </w:p>
    <w:p w14:paraId="0D7BB1B0" w14:textId="77777777" w:rsidR="00A16A5A" w:rsidRPr="00BC1FB4" w:rsidRDefault="00A16A5A" w:rsidP="00BC1FB4">
      <w:pPr>
        <w:pStyle w:val="ac"/>
        <w:ind w:firstLine="567"/>
        <w:rPr>
          <w:rFonts w:ascii="Times New Roman" w:hAnsi="Times New Roman" w:cs="Times New Roman"/>
          <w:lang w:val="ru-RU"/>
        </w:rPr>
      </w:pPr>
      <w:r w:rsidRPr="00BC1FB4">
        <w:rPr>
          <w:rFonts w:ascii="Times New Roman" w:hAnsi="Times New Roman" w:cs="Times New Roman"/>
          <w:lang w:val="ru-RU"/>
        </w:rPr>
        <w:t>ринкове замовлення (РЗ) - замовлення купити/продати фінансові інструменти за ринковою ціною (дохідністю), що негайно, виходячи з ринкових умов, виконується Інвестиційною фірмою;</w:t>
      </w:r>
    </w:p>
    <w:p w14:paraId="5D5C7731" w14:textId="77777777" w:rsidR="00A16A5A" w:rsidRPr="00BC1FB4" w:rsidRDefault="00A16A5A" w:rsidP="00BC1FB4">
      <w:pPr>
        <w:pStyle w:val="ac"/>
        <w:ind w:firstLine="567"/>
        <w:rPr>
          <w:rFonts w:ascii="Times New Roman" w:hAnsi="Times New Roman" w:cs="Times New Roman"/>
          <w:lang w:val="ru-RU"/>
        </w:rPr>
      </w:pPr>
      <w:r w:rsidRPr="00BC1FB4">
        <w:rPr>
          <w:rFonts w:ascii="Times New Roman" w:hAnsi="Times New Roman" w:cs="Times New Roman"/>
          <w:lang w:val="ru-RU"/>
        </w:rPr>
        <w:t>лімітне замовлення (ЛЗ) - замовлення купити/продати фінансові інструменти за обумовленою клієнтом ціною (дохідністю) або кращою;</w:t>
      </w:r>
    </w:p>
    <w:p w14:paraId="3F556CDD" w14:textId="77777777" w:rsidR="00A16A5A" w:rsidRPr="00BC1FB4" w:rsidRDefault="00A16A5A" w:rsidP="00BC1FB4">
      <w:pPr>
        <w:pStyle w:val="ac"/>
        <w:ind w:firstLine="567"/>
        <w:rPr>
          <w:rFonts w:ascii="Times New Roman" w:hAnsi="Times New Roman" w:cs="Times New Roman"/>
          <w:lang w:val="ru-RU"/>
        </w:rPr>
      </w:pPr>
      <w:r w:rsidRPr="00BC1FB4">
        <w:rPr>
          <w:rFonts w:ascii="Times New Roman" w:hAnsi="Times New Roman" w:cs="Times New Roman"/>
          <w:lang w:val="ru-RU"/>
        </w:rPr>
        <w:t>стоп-замовлення (СЗ) - замовлення купити/продати фінансові інструменти, яке виконується Інвестиційною фірмою в той момент, коли ціна та/або дохідність (для боргових фінансових інструментів) досягне визначеного клієнтом значення;</w:t>
      </w:r>
    </w:p>
    <w:p w14:paraId="4B3E40DD" w14:textId="77777777" w:rsidR="00A16A5A" w:rsidRPr="00BC1FB4" w:rsidRDefault="00A16A5A" w:rsidP="00BC1FB4">
      <w:pPr>
        <w:pStyle w:val="ac"/>
        <w:ind w:firstLine="567"/>
        <w:rPr>
          <w:rFonts w:ascii="Times New Roman" w:hAnsi="Times New Roman" w:cs="Times New Roman"/>
          <w:lang w:val="ru-RU"/>
        </w:rPr>
      </w:pPr>
      <w:r w:rsidRPr="00BC1FB4">
        <w:rPr>
          <w:rFonts w:ascii="Times New Roman" w:hAnsi="Times New Roman" w:cs="Times New Roman"/>
          <w:lang w:val="ru-RU"/>
        </w:rPr>
        <w:t>замовлення FOС (FOC) - замовлення купити/продати визначену кількість фінансових інструментів, що негайно, виходячи з ринкових умов, виконується Інвестиційною фірмою у повному обсязі або автоматично скасовується у випадку неможливості його виконання на зазначених умовах;</w:t>
      </w:r>
    </w:p>
    <w:p w14:paraId="2E4B2B50" w14:textId="77777777" w:rsidR="00A16A5A" w:rsidRPr="00BC1FB4" w:rsidRDefault="00A16A5A" w:rsidP="00BC1FB4">
      <w:pPr>
        <w:pStyle w:val="ac"/>
        <w:ind w:firstLine="567"/>
        <w:rPr>
          <w:rFonts w:ascii="Times New Roman" w:hAnsi="Times New Roman" w:cs="Times New Roman"/>
          <w:lang w:val="ru-RU"/>
        </w:rPr>
      </w:pPr>
      <w:r w:rsidRPr="00BC1FB4">
        <w:rPr>
          <w:rFonts w:ascii="Times New Roman" w:hAnsi="Times New Roman" w:cs="Times New Roman"/>
          <w:lang w:val="ru-RU"/>
        </w:rPr>
        <w:t>замовлення IOC (IOC) - замовлення купити/продати визначену кількість фінансових інструментів, що негайно, виходячи з ринкових умов, виконується Інвестиційною фірмою у повному обсязі або частково у випадку неможливості його виконання у повному обсязі з одночасним скасуванням невиконаної частини замовлення;</w:t>
      </w:r>
    </w:p>
    <w:p w14:paraId="14C96B6A" w14:textId="77777777" w:rsidR="00A16A5A" w:rsidRPr="00BC1FB4" w:rsidRDefault="00A16A5A" w:rsidP="00BC1FB4">
      <w:pPr>
        <w:pStyle w:val="ac"/>
        <w:ind w:firstLine="567"/>
        <w:rPr>
          <w:rFonts w:ascii="Times New Roman" w:hAnsi="Times New Roman" w:cs="Times New Roman"/>
          <w:lang w:val="ru-RU"/>
        </w:rPr>
      </w:pPr>
      <w:r w:rsidRPr="00BC1FB4">
        <w:rPr>
          <w:rFonts w:ascii="Times New Roman" w:hAnsi="Times New Roman" w:cs="Times New Roman"/>
          <w:lang w:val="ru-RU"/>
        </w:rPr>
        <w:t>замовлення AON (AON) - замовлення купити/продати визначену кількість фінансових інструментів, що виконується Інвестиційною фірмою у повному обсязі або автоматично скасовується у випадку неможливості його виконання на зазначених умовах;</w:t>
      </w:r>
    </w:p>
    <w:p w14:paraId="0E2A82B3" w14:textId="77777777" w:rsidR="00A16A5A" w:rsidRPr="00BC1FB4" w:rsidRDefault="00A16A5A" w:rsidP="00BC1FB4">
      <w:pPr>
        <w:pStyle w:val="ac"/>
        <w:ind w:firstLine="567"/>
        <w:rPr>
          <w:rFonts w:ascii="Times New Roman" w:hAnsi="Times New Roman" w:cs="Times New Roman"/>
          <w:lang w:val="ru-RU"/>
        </w:rPr>
      </w:pPr>
      <w:r w:rsidRPr="00BC1FB4">
        <w:rPr>
          <w:rFonts w:ascii="Times New Roman" w:hAnsi="Times New Roman" w:cs="Times New Roman"/>
          <w:lang w:val="ru-RU"/>
        </w:rPr>
        <w:t>замовлення GTC (GТC) - замовлення купувати/продавати фінансові інструменти, яке діє та виконується Інвестиційною фірмою до його відміни (відкликання) клієнтом.</w:t>
      </w:r>
    </w:p>
    <w:p w14:paraId="0FE4C18E" w14:textId="77777777" w:rsidR="00A16A5A" w:rsidRPr="00BC1FB4" w:rsidRDefault="00A16A5A" w:rsidP="00BC1FB4">
      <w:pPr>
        <w:pStyle w:val="ac"/>
        <w:ind w:firstLine="567"/>
        <w:rPr>
          <w:rFonts w:ascii="Times New Roman" w:hAnsi="Times New Roman" w:cs="Times New Roman"/>
          <w:lang w:val="ru-RU"/>
        </w:rPr>
      </w:pPr>
      <w:r w:rsidRPr="00BC1FB4">
        <w:rPr>
          <w:rFonts w:ascii="Times New Roman" w:hAnsi="Times New Roman" w:cs="Times New Roman"/>
          <w:lang w:val="ru-RU"/>
        </w:rPr>
        <w:t>замовлення DАУ (DAУ) - замовлення купити/продати фінансові інструменти, яке діє до кінця торгового дня, а потім автоматично скасовується;</w:t>
      </w:r>
    </w:p>
    <w:p w14:paraId="55E224B9" w14:textId="77777777" w:rsidR="00A16A5A" w:rsidRPr="00BC1FB4" w:rsidRDefault="00A16A5A" w:rsidP="00BC1FB4">
      <w:pPr>
        <w:pStyle w:val="ac"/>
        <w:ind w:firstLine="567"/>
        <w:rPr>
          <w:rFonts w:ascii="Times New Roman" w:hAnsi="Times New Roman" w:cs="Times New Roman"/>
          <w:lang w:val="ru-RU"/>
        </w:rPr>
      </w:pPr>
      <w:r w:rsidRPr="00BC1FB4">
        <w:rPr>
          <w:rFonts w:ascii="Times New Roman" w:hAnsi="Times New Roman" w:cs="Times New Roman"/>
          <w:lang w:val="ru-RU"/>
        </w:rPr>
        <w:t>замовлення позики (ЗП) - замовлення передати у власність іншій стороні (позичальнику) або отримати у власність від іншої сторони певну кількість фінансових інструментів з відповідними реквізитами ідентифікації з обов’язком їх повернення через визначений строк або на вимогу однієї із сторін;</w:t>
      </w:r>
    </w:p>
    <w:p w14:paraId="5FA7B9A0" w14:textId="27AF6ADD" w:rsidR="00A16A5A" w:rsidRDefault="00A16A5A" w:rsidP="00BC1FB4">
      <w:pPr>
        <w:pStyle w:val="ac"/>
        <w:ind w:firstLine="567"/>
        <w:rPr>
          <w:rFonts w:ascii="Times New Roman" w:hAnsi="Times New Roman" w:cs="Times New Roman"/>
          <w:lang w:val="ru-RU"/>
        </w:rPr>
      </w:pPr>
      <w:r w:rsidRPr="00BC1FB4">
        <w:rPr>
          <w:rFonts w:ascii="Times New Roman" w:hAnsi="Times New Roman" w:cs="Times New Roman"/>
          <w:lang w:val="ru-RU"/>
        </w:rPr>
        <w:t>РЕПО замовлення (РЕПО) - замовлення купити/продати цінні папери із зобов'язанням зворотного їх продажу через визначений строк за заздалегідь обумовленою ціною</w:t>
      </w:r>
      <w:r w:rsidR="00BC1FB4">
        <w:rPr>
          <w:rFonts w:ascii="Times New Roman" w:hAnsi="Times New Roman" w:cs="Times New Roman"/>
          <w:lang w:val="ru-RU"/>
        </w:rPr>
        <w:t>.</w:t>
      </w:r>
    </w:p>
    <w:p w14:paraId="09FED86D" w14:textId="77777777" w:rsidR="00BC1FB4" w:rsidRPr="00BC1FB4" w:rsidRDefault="00BC1FB4" w:rsidP="00BC1FB4">
      <w:pPr>
        <w:pStyle w:val="ac"/>
        <w:ind w:firstLine="567"/>
        <w:rPr>
          <w:rFonts w:ascii="Times New Roman" w:hAnsi="Times New Roman" w:cs="Times New Roman"/>
          <w:lang w:val="ru-RU"/>
        </w:rPr>
      </w:pPr>
    </w:p>
    <w:p w14:paraId="408928F5" w14:textId="72D557EA" w:rsidR="00A16A5A" w:rsidRPr="00BC1FB4" w:rsidRDefault="00BC1FB4" w:rsidP="007F51DB">
      <w:pPr>
        <w:pStyle w:val="a7"/>
        <w:numPr>
          <w:ilvl w:val="1"/>
          <w:numId w:val="4"/>
        </w:numPr>
        <w:spacing w:line="240" w:lineRule="auto"/>
        <w:ind w:left="0" w:firstLine="0"/>
        <w:rPr>
          <w:rFonts w:ascii="Times New Roman" w:hAnsi="Times New Roman" w:cs="Times New Roman"/>
          <w:lang w:val="ru-RU"/>
        </w:rPr>
      </w:pPr>
      <w:r>
        <w:rPr>
          <w:rFonts w:ascii="Times New Roman" w:hAnsi="Times New Roman" w:cs="Times New Roman"/>
          <w:lang w:val="ru-RU"/>
        </w:rPr>
        <w:t xml:space="preserve"> </w:t>
      </w:r>
      <w:r w:rsidR="00A16A5A" w:rsidRPr="00BC1FB4">
        <w:rPr>
          <w:rFonts w:ascii="Times New Roman" w:hAnsi="Times New Roman" w:cs="Times New Roman"/>
          <w:lang w:val="ru-RU"/>
        </w:rPr>
        <w:t>Замовлення діє протягом встановленого Клієнтом строку або до моменту його виконання чи відміни (відкликання) Клієнтом. </w:t>
      </w:r>
    </w:p>
    <w:p w14:paraId="68F5262E" w14:textId="5B00AC85" w:rsidR="00A16A5A" w:rsidRPr="00BC1FB4" w:rsidRDefault="00A16A5A" w:rsidP="007F51DB">
      <w:pPr>
        <w:pStyle w:val="a7"/>
        <w:numPr>
          <w:ilvl w:val="1"/>
          <w:numId w:val="4"/>
        </w:numPr>
        <w:spacing w:line="240" w:lineRule="auto"/>
        <w:ind w:left="0" w:firstLine="0"/>
        <w:rPr>
          <w:rFonts w:ascii="Times New Roman" w:hAnsi="Times New Roman" w:cs="Times New Roman"/>
          <w:lang w:val="ru-RU"/>
        </w:rPr>
      </w:pPr>
      <w:r w:rsidRPr="00BC1FB4">
        <w:rPr>
          <w:rFonts w:ascii="Times New Roman" w:hAnsi="Times New Roman" w:cs="Times New Roman"/>
          <w:lang w:val="ru-RU"/>
        </w:rPr>
        <w:t>Інвестиційна фірма не може здійснювати операції з фінансовими інструментами від імені за рахунок та в інтересах Клієнта без отримання від нього Замовлення. Замовлення підлягає виконанню, якщо його умови не суперечать чинному законодавству України. Клієнт самостійно здійснює всі дії, що повинні передувати вчиненню правочинів з фінансовими інструментами, зокрема, але не обмежуючись: одержує згоди осіб, які повинні такі згоди надати, пропонує фінансові інструменти особам, які мають переважне право щодо їх придбання, та інші дії передбачені чинним законодавством України на момент надання Замовлення Інвестиційній фірмі. </w:t>
      </w:r>
    </w:p>
    <w:p w14:paraId="1FC6911F" w14:textId="2AF40919" w:rsidR="00A16A5A" w:rsidRPr="00BC1FB4" w:rsidRDefault="00A16A5A" w:rsidP="007F51DB">
      <w:pPr>
        <w:pStyle w:val="a7"/>
        <w:numPr>
          <w:ilvl w:val="1"/>
          <w:numId w:val="4"/>
        </w:numPr>
        <w:spacing w:line="240" w:lineRule="auto"/>
        <w:ind w:left="0" w:firstLine="0"/>
        <w:rPr>
          <w:rFonts w:ascii="Times New Roman" w:hAnsi="Times New Roman" w:cs="Times New Roman"/>
          <w:lang w:val="ru-RU"/>
        </w:rPr>
      </w:pPr>
      <w:r w:rsidRPr="00BC1FB4">
        <w:rPr>
          <w:rFonts w:ascii="Times New Roman" w:hAnsi="Times New Roman" w:cs="Times New Roman"/>
          <w:lang w:val="ru-RU"/>
        </w:rPr>
        <w:t>Усі питання, не визначені у Замовленні, вважаються такими, що вирішуються Інвестиційною фірмою на власний розсуд з дотриманням вимог Генерального договору та чинного законодавства України. </w:t>
      </w:r>
    </w:p>
    <w:p w14:paraId="1FBA2702" w14:textId="56E5AFDB" w:rsidR="00A16A5A" w:rsidRPr="00BC1FB4" w:rsidRDefault="00A16A5A" w:rsidP="007F51DB">
      <w:pPr>
        <w:pStyle w:val="a7"/>
        <w:numPr>
          <w:ilvl w:val="1"/>
          <w:numId w:val="4"/>
        </w:numPr>
        <w:spacing w:line="240" w:lineRule="auto"/>
        <w:ind w:left="0" w:firstLine="0"/>
        <w:rPr>
          <w:rFonts w:ascii="Times New Roman" w:hAnsi="Times New Roman" w:cs="Times New Roman"/>
          <w:lang w:val="ru-RU"/>
        </w:rPr>
      </w:pPr>
      <w:r w:rsidRPr="00BC1FB4">
        <w:rPr>
          <w:rFonts w:ascii="Times New Roman" w:hAnsi="Times New Roman" w:cs="Times New Roman"/>
          <w:lang w:val="ru-RU"/>
        </w:rPr>
        <w:t>Замовлення складається українською мовою в письмовій формі у вигляді паперового документу за формою (Додаток № 1) до Генерального договору (публічна частина), у 2 (двох) примірниках (один - для Клієнта, другий – для Інвестиційної фірми) та засвідчується підписом Клієнта або його Уповноваженої особи та підписом уповноваженої особи Інвестиційної фірми, та скріплюється печатками Сторін (за наявності) -, крім Замовлень, засвідчення яких здійснено з дотриманням вимог законодавства України про електронні документи та електронний документообіг.</w:t>
      </w:r>
    </w:p>
    <w:p w14:paraId="43773BE9" w14:textId="30A8851A" w:rsidR="00A16A5A" w:rsidRPr="00BC1FB4" w:rsidRDefault="00A16A5A" w:rsidP="007F51DB">
      <w:pPr>
        <w:pStyle w:val="a7"/>
        <w:numPr>
          <w:ilvl w:val="1"/>
          <w:numId w:val="4"/>
        </w:numPr>
        <w:spacing w:line="240" w:lineRule="auto"/>
        <w:ind w:left="0" w:firstLine="0"/>
        <w:rPr>
          <w:rFonts w:ascii="Times New Roman" w:hAnsi="Times New Roman" w:cs="Times New Roman"/>
          <w:lang w:val="ru-RU"/>
        </w:rPr>
      </w:pPr>
      <w:r w:rsidRPr="00BC1FB4">
        <w:rPr>
          <w:rFonts w:ascii="Times New Roman" w:hAnsi="Times New Roman" w:cs="Times New Roman"/>
          <w:lang w:val="ru-RU"/>
        </w:rPr>
        <w:lastRenderedPageBreak/>
        <w:t>Замовлення надається особисто Клієнтом або уповноваженою особою Клієнта, з використанням засобів поштової або кур'єрської доставки, факсимільного телефонного засобів зв’язку, засобами електронної пошти, крім Замовлень, засвідчення яких здійснено з дотриманням вимог законодавства України про електронні документи та електронний документообіг. Разом із Замовленням мають бути подані документи та інформація, які вимагає Інвестиційна фірма для його прийняття та виконання.</w:t>
      </w:r>
    </w:p>
    <w:p w14:paraId="17FCDADD" w14:textId="77777777" w:rsidR="00BC1FB4" w:rsidRDefault="00A16A5A" w:rsidP="007F51DB">
      <w:pPr>
        <w:pStyle w:val="a7"/>
        <w:numPr>
          <w:ilvl w:val="1"/>
          <w:numId w:val="4"/>
        </w:numPr>
        <w:spacing w:line="240" w:lineRule="auto"/>
        <w:ind w:left="0" w:firstLine="0"/>
        <w:rPr>
          <w:rFonts w:ascii="Times New Roman" w:hAnsi="Times New Roman" w:cs="Times New Roman"/>
          <w:lang w:val="ru-RU"/>
        </w:rPr>
      </w:pPr>
      <w:r w:rsidRPr="00BC1FB4">
        <w:rPr>
          <w:rFonts w:ascii="Times New Roman" w:hAnsi="Times New Roman" w:cs="Times New Roman"/>
          <w:lang w:val="ru-RU"/>
        </w:rPr>
        <w:t>В разі якщо Клієнт є банком та/або юридичною особою яка має відповідну ліцензію НКЦПФР з професійної діяльності на ринках капіталу з торгівлі фінансовими інструментами Замовлення може надаватися уповноваженою особою Клієнта за допомогою програмного комплексу відповідного оператора організованого ринку, засобами електронної пошти, або в інший спосіб, які використовуються для обміну повідомленнями, ведення переговорів, укладання та підтвердження угод в рамках цього Генерального договору.</w:t>
      </w:r>
    </w:p>
    <w:p w14:paraId="186D1A53" w14:textId="69F2859D" w:rsidR="00A16A5A" w:rsidRPr="00BC1FB4" w:rsidRDefault="00A16A5A" w:rsidP="007F51DB">
      <w:pPr>
        <w:pStyle w:val="a7"/>
        <w:numPr>
          <w:ilvl w:val="1"/>
          <w:numId w:val="4"/>
        </w:numPr>
        <w:spacing w:line="240" w:lineRule="auto"/>
        <w:ind w:left="0" w:firstLine="0"/>
        <w:rPr>
          <w:rFonts w:ascii="Times New Roman" w:hAnsi="Times New Roman" w:cs="Times New Roman"/>
          <w:lang w:val="ru-RU"/>
        </w:rPr>
      </w:pPr>
      <w:r w:rsidRPr="00BC1FB4">
        <w:rPr>
          <w:rFonts w:ascii="Times New Roman" w:hAnsi="Times New Roman" w:cs="Times New Roman"/>
          <w:lang w:val="ru-RU"/>
        </w:rPr>
        <w:t>Інвестиційна фірма вправі повернути Клієнту Замовлення, або залишити його без розгляду, в тому числі, у разі, якщо воно оформлене з порушенням вимог Генерального договору або чинного законодавства України, підписане не уповноваженою особою Клієнта чи містить інформацію, яка суперечить або не відповідає іншим документам. </w:t>
      </w:r>
    </w:p>
    <w:p w14:paraId="2C9790D6" w14:textId="0259B1ED" w:rsidR="00A16A5A" w:rsidRPr="00BC1FB4" w:rsidRDefault="00A16A5A" w:rsidP="007F51DB">
      <w:pPr>
        <w:pStyle w:val="a7"/>
        <w:numPr>
          <w:ilvl w:val="1"/>
          <w:numId w:val="4"/>
        </w:numPr>
        <w:spacing w:line="240" w:lineRule="auto"/>
        <w:ind w:left="0" w:firstLine="0"/>
        <w:rPr>
          <w:rFonts w:ascii="Times New Roman" w:hAnsi="Times New Roman" w:cs="Times New Roman"/>
          <w:lang w:val="ru-RU"/>
        </w:rPr>
      </w:pPr>
      <w:r w:rsidRPr="00BC1FB4">
        <w:rPr>
          <w:rFonts w:ascii="Times New Roman" w:hAnsi="Times New Roman" w:cs="Times New Roman"/>
          <w:lang w:val="ru-RU"/>
        </w:rPr>
        <w:t>Інвестиційна фірма вправі не виконувати Замовлення до моменту отримання його у визначеній Інвестиційною фірмою формі або надання необхідних для виконання Замовлення документів.</w:t>
      </w:r>
    </w:p>
    <w:p w14:paraId="4D9C1B70" w14:textId="5F9DE020" w:rsidR="00A16A5A" w:rsidRPr="00BC1FB4" w:rsidRDefault="00A16A5A" w:rsidP="007F51DB">
      <w:pPr>
        <w:pStyle w:val="a7"/>
        <w:numPr>
          <w:ilvl w:val="1"/>
          <w:numId w:val="4"/>
        </w:numPr>
        <w:spacing w:line="240" w:lineRule="auto"/>
        <w:ind w:left="0" w:firstLine="0"/>
        <w:rPr>
          <w:rFonts w:ascii="Times New Roman" w:hAnsi="Times New Roman" w:cs="Times New Roman"/>
          <w:lang w:val="ru-RU"/>
        </w:rPr>
      </w:pPr>
      <w:r w:rsidRPr="00BC1FB4">
        <w:rPr>
          <w:rFonts w:ascii="Times New Roman" w:hAnsi="Times New Roman" w:cs="Times New Roman"/>
          <w:lang w:val="ru-RU"/>
        </w:rPr>
        <w:t>Інвестиційна фірма розглядає подане Замовлення, інші документи та приймає рішення про прийняття Замовлення або про відмову в такому прийнятті Замовлення на свій розсуд та відповідно до своїх внутрішніх положень.</w:t>
      </w:r>
    </w:p>
    <w:p w14:paraId="78D56C47" w14:textId="5B725C96" w:rsidR="00A16A5A" w:rsidRPr="00BC1FB4" w:rsidRDefault="00A16A5A" w:rsidP="007F51DB">
      <w:pPr>
        <w:pStyle w:val="a7"/>
        <w:numPr>
          <w:ilvl w:val="1"/>
          <w:numId w:val="4"/>
        </w:numPr>
        <w:spacing w:line="240" w:lineRule="auto"/>
        <w:ind w:left="0" w:firstLine="0"/>
        <w:rPr>
          <w:rFonts w:ascii="Times New Roman" w:hAnsi="Times New Roman" w:cs="Times New Roman"/>
          <w:lang w:val="ru-RU"/>
        </w:rPr>
      </w:pPr>
      <w:r w:rsidRPr="00BC1FB4">
        <w:rPr>
          <w:rFonts w:ascii="Times New Roman" w:hAnsi="Times New Roman" w:cs="Times New Roman"/>
          <w:lang w:val="ru-RU"/>
        </w:rPr>
        <w:t>Жодне положення Генерального договору не може тлумачитись як безумовний обов’язок Інвестиційної фірми прийняти Замовлення. Інвестиційна фірма самостійно визначає належність оформлення Клієнтом Замовлення, його відповідність іншим документам, можливість прийняття Замовлення тощо.</w:t>
      </w:r>
    </w:p>
    <w:p w14:paraId="2EA7E2C5" w14:textId="74531259" w:rsidR="00A16A5A" w:rsidRPr="00BC1FB4" w:rsidRDefault="00A16A5A" w:rsidP="007F51DB">
      <w:pPr>
        <w:pStyle w:val="a7"/>
        <w:numPr>
          <w:ilvl w:val="1"/>
          <w:numId w:val="4"/>
        </w:numPr>
        <w:spacing w:line="240" w:lineRule="auto"/>
        <w:ind w:left="0" w:firstLine="0"/>
        <w:rPr>
          <w:rFonts w:ascii="Times New Roman" w:hAnsi="Times New Roman" w:cs="Times New Roman"/>
          <w:lang w:val="ru-RU"/>
        </w:rPr>
      </w:pPr>
      <w:r w:rsidRPr="00BC1FB4">
        <w:rPr>
          <w:rFonts w:ascii="Times New Roman" w:hAnsi="Times New Roman" w:cs="Times New Roman"/>
          <w:lang w:val="ru-RU"/>
        </w:rPr>
        <w:t>Інвестиційна фірма повідомляє Клієнта про прийняття або неприйняття Замовлення до виконання. В разі прийняття Замовлення до виконання Інвестиційна фірма надає Клієнту один примірник підписаного та скріпленого печатками Сторін (за наявності) Замовлення в порядку визначеному умовами Генерального договору (публічна частина).</w:t>
      </w:r>
    </w:p>
    <w:p w14:paraId="7270FD0A" w14:textId="7AE33AD5" w:rsidR="00A16A5A" w:rsidRPr="00982B22" w:rsidRDefault="00A16A5A" w:rsidP="00982B22">
      <w:pPr>
        <w:pStyle w:val="a7"/>
        <w:spacing w:line="240" w:lineRule="auto"/>
        <w:ind w:left="360"/>
        <w:jc w:val="center"/>
        <w:rPr>
          <w:rFonts w:ascii="Times New Roman" w:hAnsi="Times New Roman" w:cs="Times New Roman"/>
          <w:b/>
          <w:bCs/>
          <w:lang w:val="ru-RU"/>
        </w:rPr>
      </w:pPr>
      <w:r w:rsidRPr="00982B22">
        <w:rPr>
          <w:rFonts w:ascii="Times New Roman" w:hAnsi="Times New Roman" w:cs="Times New Roman"/>
          <w:lang w:val="ru-RU"/>
        </w:rPr>
        <w:br/>
      </w:r>
      <w:r w:rsidR="00BC1FB4" w:rsidRPr="00982B22">
        <w:rPr>
          <w:rFonts w:ascii="Times New Roman" w:hAnsi="Times New Roman" w:cs="Times New Roman"/>
          <w:b/>
          <w:bCs/>
          <w:lang w:val="ru-RU"/>
        </w:rPr>
        <w:t xml:space="preserve">4.  </w:t>
      </w:r>
      <w:r w:rsidRPr="00982B22">
        <w:rPr>
          <w:rFonts w:ascii="Times New Roman" w:hAnsi="Times New Roman" w:cs="Times New Roman"/>
          <w:b/>
          <w:bCs/>
          <w:lang w:val="ru-RU"/>
        </w:rPr>
        <w:t xml:space="preserve">ПОРЯДОК ОПРАЦЮВАННЯ ТА ВИКОНАННЯ ЗАМОВЛЕНЬ КЛІЄНТА, </w:t>
      </w:r>
      <w:r w:rsidRPr="00982B22">
        <w:rPr>
          <w:rFonts w:ascii="Times New Roman" w:hAnsi="Times New Roman" w:cs="Times New Roman"/>
          <w:b/>
          <w:bCs/>
          <w:lang w:val="ru-RU"/>
        </w:rPr>
        <w:br/>
        <w:t>ПОРЯДОК РОЗРАХУНКІВ</w:t>
      </w:r>
    </w:p>
    <w:p w14:paraId="7521568F" w14:textId="00BE701C" w:rsidR="00982B22" w:rsidRPr="00982B22" w:rsidRDefault="00982B22" w:rsidP="007F51DB">
      <w:pPr>
        <w:pStyle w:val="a7"/>
        <w:numPr>
          <w:ilvl w:val="1"/>
          <w:numId w:val="5"/>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Замовлення може бути виконане на організованому ринку або неорганізованому ринку за вибором Інвестиційної фірми, якщо інше не передбачене Замовленням.</w:t>
      </w:r>
    </w:p>
    <w:p w14:paraId="1B029D2B" w14:textId="4C033904" w:rsidR="00982B22" w:rsidRPr="00982B22" w:rsidRDefault="00982B22" w:rsidP="007F51DB">
      <w:pPr>
        <w:pStyle w:val="a7"/>
        <w:numPr>
          <w:ilvl w:val="1"/>
          <w:numId w:val="5"/>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Замовлення виконуються відповідно до діючого порядку та правил відповідного оператора організованого ринку, Розрахункового центру або ринку того місця, де буде виконуватися це Замовлення.</w:t>
      </w:r>
    </w:p>
    <w:p w14:paraId="1A5173C3" w14:textId="77777777" w:rsidR="00982B22" w:rsidRPr="00982B22" w:rsidRDefault="00982B22" w:rsidP="007F51DB">
      <w:pPr>
        <w:numPr>
          <w:ilvl w:val="1"/>
          <w:numId w:val="5"/>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У разі здійснення операції з придбання або продажу фінансових інструментів за участю оператора організованого ринку, Інвестиційна фірма (як учасник клірингу) відкриває Клієнту в Розрахунковому центрі кліринговий субрахунок для відокремленого обліку зобов’язань та/або прав Клієнта з поставки та/або отримання фінансових інструментів.</w:t>
      </w:r>
    </w:p>
    <w:p w14:paraId="111FA83C" w14:textId="41D2AF1F" w:rsidR="00982B22" w:rsidRPr="00982B22" w:rsidRDefault="00982B22" w:rsidP="007F51DB">
      <w:pPr>
        <w:numPr>
          <w:ilvl w:val="1"/>
          <w:numId w:val="5"/>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 xml:space="preserve"> Для відкриття в Розрахунковому центрі клірингового субрахунку для відокремленого обліку зобов’язань та/або прав Клієнта з поставки та/або отримання фінансових інструментів Клієнт надає Інвестиційній фірмі відповідну заяву та визначені внутрішніми положеннями Інвестиційної фірми документи.</w:t>
      </w:r>
    </w:p>
    <w:p w14:paraId="0685D1B4" w14:textId="6D832EED" w:rsidR="00982B22" w:rsidRPr="00982B22" w:rsidRDefault="00982B22" w:rsidP="00905ED8">
      <w:pPr>
        <w:pStyle w:val="a7"/>
        <w:spacing w:line="240" w:lineRule="auto"/>
        <w:ind w:left="0"/>
        <w:rPr>
          <w:rFonts w:ascii="Times New Roman" w:hAnsi="Times New Roman" w:cs="Times New Roman"/>
          <w:lang w:val="ru-RU"/>
        </w:rPr>
      </w:pPr>
      <w:r>
        <w:rPr>
          <w:rFonts w:ascii="Times New Roman" w:hAnsi="Times New Roman" w:cs="Times New Roman"/>
          <w:lang w:val="ru-RU"/>
        </w:rPr>
        <w:t xml:space="preserve">- </w:t>
      </w:r>
      <w:r w:rsidRPr="00982B22">
        <w:rPr>
          <w:rFonts w:ascii="Times New Roman" w:hAnsi="Times New Roman" w:cs="Times New Roman"/>
          <w:lang w:val="ru-RU"/>
        </w:rPr>
        <w:t>Заяву на відкриття/закриття клірингового субрахунку;</w:t>
      </w:r>
    </w:p>
    <w:p w14:paraId="56CA99F1" w14:textId="77777777" w:rsidR="00982B22" w:rsidRPr="00982B22" w:rsidRDefault="00982B22" w:rsidP="007F51DB">
      <w:pPr>
        <w:numPr>
          <w:ilvl w:val="1"/>
          <w:numId w:val="5"/>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Інвестиційна фірма не пізніше 5 (п’яти)  банківських днів за днем відкриття клірингового субрахунку Клієнта в Розрахунковому центрі надає Клієнту Звіт-Акт наданих послуг з відкриття клірингового субрахунку до Генерального договору (публічна частина), (надалі – «Звіт-Акт за кліринговим субрахунком»). Клієнт  надає Інвестиційній фірмі підписаний зі свого боку примірник Звіт-Акт за кліринговим субрахунком протягом 3 (трьох) банківських днів з моменту отримання.</w:t>
      </w:r>
    </w:p>
    <w:p w14:paraId="35808B31" w14:textId="77777777" w:rsidR="00982B22" w:rsidRPr="00982B22" w:rsidRDefault="00982B22" w:rsidP="007F51DB">
      <w:pPr>
        <w:numPr>
          <w:ilvl w:val="1"/>
          <w:numId w:val="5"/>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Для закриття клірингового субрахунку для відокремленого обліку зобов’язань та/або прав Клієнта з поставки та/або отримання фінансові інструменти Клієнт надає Інвестиційній фірмі відповідну Заяву про закриття клірингового субрахунку.</w:t>
      </w:r>
    </w:p>
    <w:p w14:paraId="1F68AC12" w14:textId="77777777" w:rsidR="00982B22" w:rsidRPr="00982B22" w:rsidRDefault="00982B22" w:rsidP="007F51DB">
      <w:pPr>
        <w:numPr>
          <w:ilvl w:val="1"/>
          <w:numId w:val="5"/>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 xml:space="preserve">Інвестиційна фірма має право самостійно закрити кліринговий субрахунок для відокремленого обліку зобов’язань та/або прав Клієнта з поставки та/або отримання фінансові інструменти, без отримання від Клієнта Заяви передбаченої п. 4.6. Генерального договору (публічна частина), у разі якщо Клієнт протягом року з дати виконання Інвестиційною фірмою останнього Замовлення, або з дати підписання Клієнтом цього </w:t>
      </w:r>
      <w:r w:rsidRPr="00982B22">
        <w:rPr>
          <w:rFonts w:ascii="Times New Roman" w:hAnsi="Times New Roman" w:cs="Times New Roman"/>
          <w:lang w:val="ru-RU"/>
        </w:rPr>
        <w:lastRenderedPageBreak/>
        <w:t>Генерального договору, не надав жодного Замовлення, та за умови відсутності на кліринговому субрахунку фінансових інструментів Клієнта.</w:t>
      </w:r>
    </w:p>
    <w:p w14:paraId="0D9DFD24" w14:textId="77777777" w:rsidR="00982B22" w:rsidRPr="00982B22" w:rsidRDefault="00982B22" w:rsidP="007F51DB">
      <w:pPr>
        <w:numPr>
          <w:ilvl w:val="1"/>
          <w:numId w:val="5"/>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 xml:space="preserve"> Інвестиційна фірма може здійснювати операції з придбання або продажу фінансових інструментів  на організованому ринку капіталу, як через кліринговий субрахунок відкритий Інвестиційною фірмою в Розрахунковому центрі для відокремленого обліку зобов’язань та/або прав Клієнта з поставки та/або отримання фінансових інструментів, так і через кліринговий субрахунок відкритий Інвестиційною фірмою в Розрахунковому центрі для </w:t>
      </w:r>
      <w:r w:rsidRPr="00982B22">
        <w:rPr>
          <w:rFonts w:ascii="Times New Roman" w:hAnsi="Times New Roman" w:cs="Times New Roman"/>
          <w:u w:val="single"/>
          <w:lang w:val="ru-RU"/>
        </w:rPr>
        <w:t>колективного</w:t>
      </w:r>
      <w:r w:rsidRPr="00982B22">
        <w:rPr>
          <w:rFonts w:ascii="Times New Roman" w:hAnsi="Times New Roman" w:cs="Times New Roman"/>
          <w:lang w:val="ru-RU"/>
        </w:rPr>
        <w:t xml:space="preserve"> обліку зобов’язань та/або прав Клієнта з поставки та/або отримання фінансових інструментів Клієнта, на власний розсуд.</w:t>
      </w:r>
    </w:p>
    <w:p w14:paraId="01051650" w14:textId="77777777" w:rsidR="00982B22" w:rsidRPr="00982B22" w:rsidRDefault="00982B22" w:rsidP="007F51DB">
      <w:pPr>
        <w:numPr>
          <w:ilvl w:val="1"/>
          <w:numId w:val="5"/>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Проведення операцій на організованому ринку.</w:t>
      </w:r>
    </w:p>
    <w:p w14:paraId="3B35B26F" w14:textId="163384A5" w:rsidR="00982B22" w:rsidRPr="00982B22" w:rsidRDefault="00982B22" w:rsidP="007F51DB">
      <w:pPr>
        <w:pStyle w:val="a7"/>
        <w:numPr>
          <w:ilvl w:val="2"/>
          <w:numId w:val="6"/>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У разі придбання фінансових інструментів на організованому ринку, Клієнт подає Інвестиційній фірмі відповідне Замовлення, де, зокрема, зазначається обраний Клієнтом оператор організованого ринку та в день підписання Замовлення Клієнт перераховує необхідні для придбання фінансових інструментів грошові кошти на рахунок Інвестиційної фірми і надає їй Розпорядження на блокування коштів. Інвестиційна фірма забезпечує наявність коштів на відповідному кліринговому субрахунку, відкритому Інвестиційною фірмою в Розрахунковому центрі, для проведення грошових розрахунків за правочинами щодо фінансових інструментів та блокування їх на організованому ринку. </w:t>
      </w:r>
    </w:p>
    <w:p w14:paraId="160B2F15" w14:textId="0D7E659B" w:rsidR="00982B22" w:rsidRPr="00982B22" w:rsidRDefault="00982B22" w:rsidP="007F51DB">
      <w:pPr>
        <w:pStyle w:val="a7"/>
        <w:numPr>
          <w:ilvl w:val="2"/>
          <w:numId w:val="7"/>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Інвестиційна фірма докладає усіх зусиль для придбання фінансових інструментів на умовах, визначених в Замовленні, негайно після отримання Замовлення в порядку передбаченому розділом 3 Генерального договору (публічна частина) та за умови наявності необхідної суми грошових коштів для придбання фінансових інструментів на рахунку Інвестиційної фірми.</w:t>
      </w:r>
    </w:p>
    <w:p w14:paraId="461A0701" w14:textId="6E0697C8" w:rsidR="00982B22" w:rsidRPr="00982B22" w:rsidRDefault="00982B22" w:rsidP="007F51DB">
      <w:pPr>
        <w:pStyle w:val="a7"/>
        <w:numPr>
          <w:ilvl w:val="2"/>
          <w:numId w:val="7"/>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У разі продажу фінансових інструментів на організованому ринку Клієнт надає Інвестиційній фірмі відповідне Замовлення, де, зокрема, зазначається обраний Клієнтом оператор організованого ринку та в день підписання Замовлення Клієнт подає розпорядження до обраної ним депозитарної установи для блокування фінансових інструментів на рахунку в цінних паперах та блокування їх оператором організованого ринку. Виконання Інвестиційною фірмою отриманого від Клієнта Замовлення здійснюється протягом торговельного дня відповідного оператора організованого ринку і не раніше фактичного блокування фінансових інструментів оператором організованого ринку. </w:t>
      </w:r>
    </w:p>
    <w:p w14:paraId="6F8B8B0D" w14:textId="7E6F9DB1" w:rsidR="00982B22" w:rsidRPr="00982B22" w:rsidRDefault="00982B22" w:rsidP="007F51DB">
      <w:pPr>
        <w:pStyle w:val="a7"/>
        <w:numPr>
          <w:ilvl w:val="2"/>
          <w:numId w:val="7"/>
        </w:numPr>
        <w:spacing w:line="240" w:lineRule="auto"/>
        <w:ind w:left="0" w:firstLine="0"/>
        <w:rPr>
          <w:rFonts w:ascii="Times New Roman" w:hAnsi="Times New Roman" w:cs="Times New Roman"/>
          <w:lang w:val="ru-RU"/>
        </w:rPr>
      </w:pPr>
      <w:r>
        <w:rPr>
          <w:rFonts w:ascii="Times New Roman" w:hAnsi="Times New Roman" w:cs="Times New Roman"/>
          <w:lang w:val="ru-RU"/>
        </w:rPr>
        <w:t xml:space="preserve"> </w:t>
      </w:r>
      <w:r w:rsidRPr="00982B22">
        <w:rPr>
          <w:rFonts w:ascii="Times New Roman" w:hAnsi="Times New Roman" w:cs="Times New Roman"/>
          <w:lang w:val="ru-RU"/>
        </w:rPr>
        <w:t>Інвестиційна фірма докладає усіх зусиль для продажу фінансових інструментів Клієнта на умовах, визначених в Замовленні, негайно після отримання Замовлення в порядку передбаченому розділом 3 Генерального договору (публічна частина) та документів, що підтверджують наявність необхідних фінансових інструментів на рахунку Клієнта. </w:t>
      </w:r>
    </w:p>
    <w:p w14:paraId="57625BD2" w14:textId="719D6678" w:rsidR="00982B22" w:rsidRPr="00982B22" w:rsidRDefault="00982B22" w:rsidP="007F51DB">
      <w:pPr>
        <w:pStyle w:val="a7"/>
        <w:numPr>
          <w:ilvl w:val="2"/>
          <w:numId w:val="7"/>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Повернення коштів Клієнта від продажу фінансових інструментів, або залишок невикористаних коштів Клієнта для здійснення розрахунків та/або повернення придбаних фінансових інструментів, або залишок невикористаних фінансових інструментів, на рахунок Клієнта, здійснюється Інвестиційною фірмою на підставі зазначених в Замовленні умов, за реквізитами вказаними в Генеральному договорі (індивідуальна частина), в іншому випадку, повернення фінансових інструментів Клієнта відбувається шляхом надання Клієнтом Інвестиційній фірмі Розпорядження на розблокування активів. Після надходження коштів Клієнта на рахунок Інвестиційної фірми, остання здійснює їх переказ Клієнту протягом 1 (одного) банківського дня на рахунок Клієнта, вказаний в Генеральному договорі (індивідуальна частина) або Розпорядженні на розблокування активів, що є підставою для переказу Коштів. Такий переказ коштів для Клієнтів юридичних осіб здійснюється Інвестиційною фірмою у сумі, що надійшла на рахунок Інвестиційної фірми. В разі переказу коштів для Клієнтів фізичних осіб переказ здійснюється Інвестиційною фірмою у сумі, що надійшла на рахунок Інвестиційної фірми за вирахуванням (утриманням) суми податку на доходи фізичних осіб, військового збору та суми винагороди, передбачених п. 5. Генерального договору (публічна частина) та умовами Генерального договору (індивідуальна частина). </w:t>
      </w:r>
    </w:p>
    <w:p w14:paraId="736968EB" w14:textId="77777777" w:rsidR="00982B22" w:rsidRPr="00982B22" w:rsidRDefault="00982B22" w:rsidP="007F51DB">
      <w:pPr>
        <w:numPr>
          <w:ilvl w:val="1"/>
          <w:numId w:val="7"/>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Здійснення розрахунків за фінансовими інструментами і поставка фінансових інструментів за операціями на неорганізованого ринку.</w:t>
      </w:r>
    </w:p>
    <w:p w14:paraId="2DEAF336" w14:textId="21A8885D" w:rsidR="00982B22" w:rsidRPr="00982B22" w:rsidRDefault="00982B22" w:rsidP="007F51DB">
      <w:pPr>
        <w:pStyle w:val="a7"/>
        <w:numPr>
          <w:ilvl w:val="2"/>
          <w:numId w:val="8"/>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У разі придбання фінансових інструментів Клієнт надає Інвестиційній фірмі відповідне Замовлення, де, зокрема, вказуються умови оплати: безпосередньо з рахунку покупця на рахунок продавця чи з попереднім зарахуванням коштів на рахунок Інвестиційної фірми. </w:t>
      </w:r>
    </w:p>
    <w:p w14:paraId="29813191" w14:textId="448258F5" w:rsidR="00982B22" w:rsidRPr="00982B22" w:rsidRDefault="00982B22" w:rsidP="007F51DB">
      <w:pPr>
        <w:pStyle w:val="a7"/>
        <w:numPr>
          <w:ilvl w:val="2"/>
          <w:numId w:val="7"/>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 xml:space="preserve">Якщо Замовленням на купівлю фінансових інструментів передбачені розрахунки за фінансовими інструментами з попереднім зарахуванням коштів на рахунок Інвестиційної фірми, то Клієнт зобов’язаний не пізніше наступного банківського дня за днем надання відповідного Замовлення здійснити перерахування коштів на рахунок Інвестиційної фірми у сумі, необхідній для виконання Замовлення. Повернення коштів, </w:t>
      </w:r>
      <w:r w:rsidRPr="00982B22">
        <w:rPr>
          <w:rFonts w:ascii="Times New Roman" w:hAnsi="Times New Roman" w:cs="Times New Roman"/>
          <w:lang w:val="ru-RU"/>
        </w:rPr>
        <w:lastRenderedPageBreak/>
        <w:t>перерахованих Клієнтом на рахунок Інвестиційної фірми для купівлі Інвестиційною фірмою фінансових інструментів, але не використаних для купівлі фінансових інструментів, проводиться Інвестиційною фірмою на підставі Розпорядження на розблокування активів. Інвестиційна фірма зобов’язується повернути кошти Клієнту протягом одного банківського дня з моменту отримання Розпорядження на розблокування активів на рахунок Клієнта, що зазначений у Розпорядженні. Таке повернення коштів здійснюється Інвестиційною фірмою лише у випадку, якщо на момент отримання Інвестиційною фірмою Розпорядження на розблокування активів Замовлення не було виконане в повному обсязі. </w:t>
      </w:r>
    </w:p>
    <w:p w14:paraId="5C573E13" w14:textId="4D0E2EF3" w:rsidR="00982B22" w:rsidRPr="00982B22" w:rsidRDefault="00982B22" w:rsidP="007F51DB">
      <w:pPr>
        <w:pStyle w:val="a7"/>
        <w:numPr>
          <w:ilvl w:val="2"/>
          <w:numId w:val="7"/>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У випадку, коли Замовленням на купівлю фінансових інструментів передбачені розрахунки за фінансовими інструментами безпосередньо з рахунку покупця на рахунок продавця, то оплата за фінансові інструменти здійснюється Клієнтом відповідно до умов укладеного на виконання Замовлення Договору купівлі-продажу.</w:t>
      </w:r>
    </w:p>
    <w:p w14:paraId="19F533CC" w14:textId="6250FA76" w:rsidR="00982B22" w:rsidRPr="00982B22" w:rsidRDefault="00982B22" w:rsidP="007F51DB">
      <w:pPr>
        <w:pStyle w:val="a7"/>
        <w:numPr>
          <w:ilvl w:val="2"/>
          <w:numId w:val="7"/>
        </w:numPr>
        <w:spacing w:line="240" w:lineRule="auto"/>
        <w:ind w:left="0" w:firstLine="0"/>
        <w:rPr>
          <w:rFonts w:ascii="Times New Roman" w:hAnsi="Times New Roman" w:cs="Times New Roman"/>
          <w:lang w:val="ru-RU"/>
        </w:rPr>
      </w:pPr>
      <w:r>
        <w:rPr>
          <w:rFonts w:ascii="Times New Roman" w:hAnsi="Times New Roman" w:cs="Times New Roman"/>
          <w:lang w:val="ru-RU"/>
        </w:rPr>
        <w:t xml:space="preserve"> </w:t>
      </w:r>
      <w:r w:rsidRPr="00982B22">
        <w:rPr>
          <w:rFonts w:ascii="Times New Roman" w:hAnsi="Times New Roman" w:cs="Times New Roman"/>
          <w:lang w:val="ru-RU"/>
        </w:rPr>
        <w:t>У разі продажу фінансових інструментів Клієнт надає Інвестиційній фірмі відповідне Замовлення, де, зокрема, вказуються умови оплати: безпосередньо з рахунку покупця на рахунок продавця, чи з попереднім зарахуванням коштів на рахунок Інвестиційної фірми. </w:t>
      </w:r>
    </w:p>
    <w:p w14:paraId="6ED0EB3A" w14:textId="66C489A5" w:rsidR="00982B22" w:rsidRPr="00982B22" w:rsidRDefault="00982B22" w:rsidP="007F51DB">
      <w:pPr>
        <w:pStyle w:val="a7"/>
        <w:numPr>
          <w:ilvl w:val="2"/>
          <w:numId w:val="9"/>
        </w:numPr>
        <w:spacing w:line="240" w:lineRule="auto"/>
        <w:ind w:left="0" w:firstLine="0"/>
        <w:rPr>
          <w:rFonts w:ascii="Times New Roman" w:hAnsi="Times New Roman" w:cs="Times New Roman"/>
          <w:lang w:val="ru-RU"/>
        </w:rPr>
      </w:pPr>
      <w:r>
        <w:rPr>
          <w:rFonts w:ascii="Times New Roman" w:hAnsi="Times New Roman" w:cs="Times New Roman"/>
          <w:lang w:val="ru-RU"/>
        </w:rPr>
        <w:t xml:space="preserve"> </w:t>
      </w:r>
      <w:r w:rsidRPr="00982B22">
        <w:rPr>
          <w:rFonts w:ascii="Times New Roman" w:hAnsi="Times New Roman" w:cs="Times New Roman"/>
          <w:lang w:val="ru-RU"/>
        </w:rPr>
        <w:t>У випадку, коли кошти зараховуються від покупця на рахунок Інвестиційної фірми, остання зобов’язується здійснити їх переказ на рахунок Клієнта, вказаний у Генеральному договорі (індивідуальна частина), протягом 1 (одного) банківського дня після дня їх надходження на рахунок Інвестиційної фірми. Такий переказ коштів здійснюється Інвестиційною фірмою у сумі, що надійшла на Рахунок Інвестиційної фірми, за вирахуванням (утриманням) суми податку на доходи фізичних осіб, військового збору та суми винагороди (комісії), передбачених п. 5. Генерального договору (публічна частина) та умовами Генерального договору (індивідуальна частина). </w:t>
      </w:r>
    </w:p>
    <w:p w14:paraId="5FDD1345" w14:textId="77777777" w:rsidR="00982B22" w:rsidRPr="00982B22" w:rsidRDefault="00982B22" w:rsidP="007F51DB">
      <w:pPr>
        <w:numPr>
          <w:ilvl w:val="1"/>
          <w:numId w:val="9"/>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У разі надання Клієнтом Замовлення, що передбачає вид послуги позика, міна фінансових інструментів або операції РЕПО, особливості умов здійснення розрахунків та інших умов, за такими видами послуг, визначаються Договором купівлі-продажу та законодавством України.</w:t>
      </w:r>
    </w:p>
    <w:p w14:paraId="3F391A01" w14:textId="77777777" w:rsidR="00982B22" w:rsidRPr="00982B22" w:rsidRDefault="00982B22" w:rsidP="007F51DB">
      <w:pPr>
        <w:numPr>
          <w:ilvl w:val="1"/>
          <w:numId w:val="9"/>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Замовлення вважається виконаним з моменту підписання документу, який підтверджує виконання зобов'язань за Договором купівлі-продажу/ або настання останньої з наступних подій за Договором купівлі-продажу: переходу до Клієнта права власності на фінансові інструменти, або отримання Клієнтом коштів, про що Сторони зобов’язані скласти Акт про виконання Замовлення до Генерального договору (публічна частина). </w:t>
      </w:r>
    </w:p>
    <w:p w14:paraId="0CA76D56" w14:textId="77777777" w:rsidR="00982B22" w:rsidRPr="00982B22" w:rsidRDefault="00982B22" w:rsidP="007F51DB">
      <w:pPr>
        <w:numPr>
          <w:ilvl w:val="1"/>
          <w:numId w:val="9"/>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Замовлення може бути виконане Інвестиційною фірмою частково, якщо інше не вказано в Замовленні. Частковим виконанням є виконання Замовлення щодо частини фінансових інструментів, вказаних в Замовленні.</w:t>
      </w:r>
    </w:p>
    <w:p w14:paraId="0E1A2EF9" w14:textId="77777777" w:rsidR="00982B22" w:rsidRPr="00982B22" w:rsidRDefault="00982B22" w:rsidP="007F51DB">
      <w:pPr>
        <w:numPr>
          <w:ilvl w:val="1"/>
          <w:numId w:val="9"/>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Клієнт може відкликати або змінити Замовлення до закінчення строку його дії, але не пізніше його повного виконання Інвестиційною фірмою. Замовлення може бути змінено лише за згодою Інвестиційної фірми, шляхом підписання Сторонами додаткової угоди до Замовлення. Прийняття Інвестиційною фірмою змін до Замовлення здійснюється в порядку, встановленому для прийняття Замовлення. Якщо на момент відкликання або зміни Замовлення Інвестиційною фірмою відповідно до цього Замовлення були укладені Договори купівлі-продажу, які передбачають купівлю/продаж/міну/позику частини зазначених в Замовленні фінансових інструментів, Клієнт має право відкликати або змінити Замовлення лише щодо решти фінансових інструментів, шляхом підписання Сторонами додаткової угоди до Замовлення. </w:t>
      </w:r>
    </w:p>
    <w:p w14:paraId="1D88B8D0" w14:textId="77777777" w:rsidR="00982B22" w:rsidRPr="00982B22" w:rsidRDefault="00982B22" w:rsidP="007F51DB">
      <w:pPr>
        <w:numPr>
          <w:ilvl w:val="1"/>
          <w:numId w:val="9"/>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Відкликання/зміна Замовлення Клієнтом, відмова Інвестиційної фірми від виконання Замовлення не впливають на права та обов’язки Сторін, що виникли на підставі Договорів купівлі-продажу, укладених Інвестиційною фірмою до відкликання/зміни Замовлення/відмови від Замовлення, а також на права та обов’язки Сторін за Генеральним договором в зв’язку з укладенням зазначених Договорів купівлі-продажу. Це означає, що відкликання/зміна Замовлення, відмова Інвестиційної фірми від виконання Замовлення: </w:t>
      </w:r>
    </w:p>
    <w:p w14:paraId="2126B970" w14:textId="4A1232F7" w:rsidR="00982B22" w:rsidRPr="00982B22" w:rsidRDefault="00982B22" w:rsidP="00905ED8">
      <w:pPr>
        <w:spacing w:line="240" w:lineRule="auto"/>
        <w:rPr>
          <w:rFonts w:ascii="Times New Roman" w:hAnsi="Times New Roman" w:cs="Times New Roman"/>
          <w:lang w:val="ru-RU"/>
        </w:rPr>
      </w:pPr>
      <w:r>
        <w:rPr>
          <w:rFonts w:ascii="Times New Roman" w:hAnsi="Times New Roman" w:cs="Times New Roman"/>
          <w:lang w:val="ru-RU"/>
        </w:rPr>
        <w:t xml:space="preserve">-  </w:t>
      </w:r>
      <w:r w:rsidRPr="00982B22">
        <w:rPr>
          <w:rFonts w:ascii="Times New Roman" w:hAnsi="Times New Roman" w:cs="Times New Roman"/>
          <w:lang w:val="ru-RU"/>
        </w:rPr>
        <w:t>не звільняє Клієнта від обов’язку виконати умови Договорів купівлі-продажу, укладені Інвестиційною фірмою на виконання такого Замовлення від імені Клієнта; </w:t>
      </w:r>
    </w:p>
    <w:p w14:paraId="65A4C82A" w14:textId="331120EB" w:rsidR="00982B22" w:rsidRPr="00982B22" w:rsidRDefault="00982B22" w:rsidP="00905ED8">
      <w:pPr>
        <w:spacing w:line="240" w:lineRule="auto"/>
        <w:rPr>
          <w:rFonts w:ascii="Times New Roman" w:hAnsi="Times New Roman" w:cs="Times New Roman"/>
          <w:lang w:val="ru-RU"/>
        </w:rPr>
      </w:pPr>
      <w:r>
        <w:rPr>
          <w:rFonts w:ascii="Times New Roman" w:hAnsi="Times New Roman" w:cs="Times New Roman"/>
          <w:lang w:val="ru-RU"/>
        </w:rPr>
        <w:t xml:space="preserve">-  </w:t>
      </w:r>
      <w:r w:rsidRPr="00982B22">
        <w:rPr>
          <w:rFonts w:ascii="Times New Roman" w:hAnsi="Times New Roman" w:cs="Times New Roman"/>
          <w:lang w:val="ru-RU"/>
        </w:rPr>
        <w:t>не звільняє Сторони від обов‘язку здійснити всі необхідні дії, необхідні для виконання Договорів купівлі-продажу, укладених Інвестиційною фірмою на виконання такого Замовлення; </w:t>
      </w:r>
    </w:p>
    <w:p w14:paraId="7D9FE239" w14:textId="4D37E340" w:rsidR="00982B22" w:rsidRPr="00982B22" w:rsidRDefault="00982B22" w:rsidP="00905ED8">
      <w:pPr>
        <w:spacing w:line="240" w:lineRule="auto"/>
        <w:rPr>
          <w:rFonts w:ascii="Times New Roman" w:hAnsi="Times New Roman" w:cs="Times New Roman"/>
          <w:lang w:val="ru-RU"/>
        </w:rPr>
      </w:pPr>
      <w:r>
        <w:rPr>
          <w:rFonts w:ascii="Times New Roman" w:hAnsi="Times New Roman" w:cs="Times New Roman"/>
          <w:lang w:val="ru-RU"/>
        </w:rPr>
        <w:t xml:space="preserve">-  </w:t>
      </w:r>
      <w:r w:rsidRPr="00982B22">
        <w:rPr>
          <w:rFonts w:ascii="Times New Roman" w:hAnsi="Times New Roman" w:cs="Times New Roman"/>
          <w:lang w:val="ru-RU"/>
        </w:rPr>
        <w:t>не звільняє Клієнта від обов’язку щодо сплати Інвестиційній фірмі належної йому винагороди, компенсації понесених Інвестиційною фірмою витрат, а також здійснення будь-яких інших платежів у зв’язку з частковим виконанням такого Замовлення.</w:t>
      </w:r>
    </w:p>
    <w:p w14:paraId="79B6A548" w14:textId="77777777" w:rsidR="00982B22" w:rsidRPr="00982B22" w:rsidRDefault="00982B22" w:rsidP="007F51DB">
      <w:pPr>
        <w:numPr>
          <w:ilvl w:val="1"/>
          <w:numId w:val="9"/>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lastRenderedPageBreak/>
        <w:t>Всі документи, які передбачені цим Генеральним договором,  передаються з використанням засобів поштового зв’язку або кур’єрської доставки крім документів, засвідчення яких здійснено з дотриманням вимог законодавства України про електронні документи та електронний документообіг. Сторони можуть обмінюватись копіями документів, підписаними Сторонами та скріпленими печатками Сторін (за наявності) з використанням засобів факсимільного, телефонного засобів зв’язку, засобами електронної пошти, такі документи  мають чинність до моменту заміни їх оригіналами, термін заміни не повинен перевищувати 30 (тридцяти) календарних днів з дати їх укладання.</w:t>
      </w:r>
    </w:p>
    <w:p w14:paraId="6EEFAFAB" w14:textId="77777777" w:rsidR="00982B22" w:rsidRPr="00982B22" w:rsidRDefault="00982B22" w:rsidP="007F51DB">
      <w:pPr>
        <w:numPr>
          <w:ilvl w:val="1"/>
          <w:numId w:val="9"/>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В разі якщо Клієнт є банком та/або юридичною особою яка має відповідну ліцензію НКЦПФР з професійної діяльності на ринках капіталу з торгівлі фінансовими інструментами, що передбачає дилерську діяльність та діє від свого імені та за власний рахунок Замовлення може надаватися уповноваженою особою Клієнта за допомогою програмного комплексу допомогою програмного комплексу відповідного оператора організованого ринку, засобами електронної пошти, або в інший спосіб, які використовуються для обміну повідомленнями, ведення переговорів, укладання та підтвердження угод в рамках цього Генерального договору.</w:t>
      </w:r>
    </w:p>
    <w:p w14:paraId="7C331E57" w14:textId="60DF1E33" w:rsidR="00982B22" w:rsidRPr="00982B22" w:rsidRDefault="00982B22" w:rsidP="007F51DB">
      <w:pPr>
        <w:pStyle w:val="a7"/>
        <w:numPr>
          <w:ilvl w:val="2"/>
          <w:numId w:val="10"/>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Інвестиційна фірма підтверджує (акцептує)  відповідну заявку, Клієнта або направляє зустрічне повідомлення Клієнту, що є підтвердженням укладеного з Клієнтом договору купівлі-продажу.</w:t>
      </w:r>
    </w:p>
    <w:p w14:paraId="501FED1C" w14:textId="62DD8C9B" w:rsidR="00982B22" w:rsidRPr="00982B22" w:rsidRDefault="00982B22" w:rsidP="007F51DB">
      <w:pPr>
        <w:pStyle w:val="a7"/>
        <w:numPr>
          <w:ilvl w:val="2"/>
          <w:numId w:val="10"/>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В разі укладення договору купівлі-продажу через оператора організованого ринку розрахунки проводяться через відповідні клірингові рахунки/субрахунки Інвестиційної фірми і Клієнта відкриті в Розрахунковому центрі.</w:t>
      </w:r>
    </w:p>
    <w:p w14:paraId="73D82E99" w14:textId="77777777" w:rsidR="00982B22" w:rsidRPr="00982B22" w:rsidRDefault="00982B22" w:rsidP="007F51DB">
      <w:pPr>
        <w:numPr>
          <w:ilvl w:val="1"/>
          <w:numId w:val="10"/>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Підтвердженням виконання зобов’язань за договором купівлі-продажу укладеним Інвестиційною фірмою з Клієнтом який має відповідну ліцензію НКЦПФР з професійної діяльності на ринках капіталу з торгівлі фінансовими інструментами, що передбачає дилерську діяльність за допомогою програмного комплексу відповідного оператора організованого ринку, засобами електронної пошти, або в інший спосіб, які використовуються для обміну повідомленнями, ведення переговорів, укладання та підтвердження угод в рамках цього Генерального договору.</w:t>
      </w:r>
    </w:p>
    <w:p w14:paraId="4780A535" w14:textId="46838C95" w:rsidR="00982B22" w:rsidRPr="00982B22" w:rsidRDefault="00982B22" w:rsidP="007F51DB">
      <w:pPr>
        <w:pStyle w:val="a7"/>
        <w:numPr>
          <w:ilvl w:val="2"/>
          <w:numId w:val="10"/>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за договорами укладеними на неорганізованому ринку є факт зарахування фінансових інструментів на рахунок у цінних паперах та факт здійснення оплати за фінансові інструменти.</w:t>
      </w:r>
    </w:p>
    <w:p w14:paraId="2D4EC563" w14:textId="1793534C" w:rsidR="00982B22" w:rsidRPr="00982B22" w:rsidRDefault="00982B22" w:rsidP="007F51DB">
      <w:pPr>
        <w:pStyle w:val="a7"/>
        <w:numPr>
          <w:ilvl w:val="2"/>
          <w:numId w:val="10"/>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Підтвердженням виконання зобов’язань за Замовленням Клієнта який має відповідну ліцензію НКЦПФР з професійної діяльності на ринках капіталу з торгівлі фінансовими інструментами, що передбачає дилерську діяльність є факт зарахування фінансових інструментів на рахунок у цінних паперах та факт здійснення оплати за фінансові інструменти на підставі Договору купівлі-продажу.</w:t>
      </w:r>
    </w:p>
    <w:p w14:paraId="41F7265B" w14:textId="5AB54CFF" w:rsidR="00982B22" w:rsidRPr="00982B22" w:rsidRDefault="00982B22" w:rsidP="007F51DB">
      <w:pPr>
        <w:pStyle w:val="a7"/>
        <w:numPr>
          <w:ilvl w:val="2"/>
          <w:numId w:val="10"/>
        </w:numPr>
        <w:spacing w:line="240" w:lineRule="auto"/>
        <w:ind w:left="0" w:firstLine="0"/>
        <w:rPr>
          <w:rFonts w:ascii="Times New Roman" w:hAnsi="Times New Roman" w:cs="Times New Roman"/>
          <w:lang w:val="ru-RU"/>
        </w:rPr>
      </w:pPr>
      <w:r w:rsidRPr="00982B22">
        <w:rPr>
          <w:rFonts w:ascii="Times New Roman" w:hAnsi="Times New Roman" w:cs="Times New Roman"/>
          <w:lang w:val="ru-RU"/>
        </w:rPr>
        <w:t>В разі укладення договорів купівлі-продажу відповідно п. 4.17 Генерального договору такі Договори купівлі-продажу підпадають під визначення дилерської діяльності</w:t>
      </w:r>
    </w:p>
    <w:p w14:paraId="3A830F1A" w14:textId="41D9AF90" w:rsidR="00A16A5A" w:rsidRPr="00A16A5A" w:rsidRDefault="00A16A5A" w:rsidP="007F51DB">
      <w:pPr>
        <w:numPr>
          <w:ilvl w:val="0"/>
          <w:numId w:val="3"/>
        </w:numPr>
        <w:spacing w:line="240" w:lineRule="auto"/>
        <w:jc w:val="center"/>
        <w:rPr>
          <w:rFonts w:ascii="Times New Roman" w:hAnsi="Times New Roman" w:cs="Times New Roman"/>
          <w:b/>
          <w:bCs/>
          <w:lang w:val="ru-RU"/>
        </w:rPr>
      </w:pPr>
      <w:r w:rsidRPr="00A16A5A">
        <w:rPr>
          <w:rFonts w:ascii="Times New Roman" w:hAnsi="Times New Roman" w:cs="Times New Roman"/>
          <w:b/>
          <w:bCs/>
          <w:lang w:val="ru-RU"/>
        </w:rPr>
        <w:t>УТРИМАННЯ ПОДАТКІВ</w:t>
      </w:r>
    </w:p>
    <w:p w14:paraId="50E71AC2" w14:textId="2E718E1B" w:rsidR="00A16A5A" w:rsidRPr="00FC44FF" w:rsidRDefault="00A16A5A" w:rsidP="007F51DB">
      <w:pPr>
        <w:pStyle w:val="a7"/>
        <w:numPr>
          <w:ilvl w:val="1"/>
          <w:numId w:val="11"/>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Інвестиційна фірма є податковим агентом Клієнта фізичної особи - платника податку на доходи фізичних осіб та військового збору. Розрахунок, утримання і перерахування суми податку на доходи фізичних осіб та військового збору до бюджету здійснюється Інвестиційною фірмою у строки та в порядку, визначеному законодавством України, зокрема, Податковим кодексом України. </w:t>
      </w:r>
    </w:p>
    <w:p w14:paraId="4CFA54CD" w14:textId="6210BA37" w:rsidR="00A16A5A" w:rsidRPr="00FC44FF" w:rsidRDefault="00A16A5A" w:rsidP="007F51DB">
      <w:pPr>
        <w:pStyle w:val="a7"/>
        <w:numPr>
          <w:ilvl w:val="1"/>
          <w:numId w:val="11"/>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Інвестиційна фірма не є податковим агентом щодо утримання і перерахування податків Клієнтів юридичних особі-резидентів. Клієнти юридичні особи-резиденти самостійно перерахування суми податків до бюджету у строки та в порядку, визначеному законодавством України, зокрема, Податковим кодексом України.</w:t>
      </w:r>
    </w:p>
    <w:p w14:paraId="3A940B86" w14:textId="77777777" w:rsidR="00A16A5A" w:rsidRPr="00A16A5A" w:rsidRDefault="00A16A5A" w:rsidP="007F51DB">
      <w:pPr>
        <w:numPr>
          <w:ilvl w:val="1"/>
          <w:numId w:val="11"/>
        </w:numPr>
        <w:spacing w:line="240" w:lineRule="auto"/>
        <w:ind w:left="0" w:firstLine="0"/>
        <w:rPr>
          <w:rFonts w:ascii="Times New Roman" w:hAnsi="Times New Roman" w:cs="Times New Roman"/>
          <w:lang w:val="ru-RU"/>
        </w:rPr>
      </w:pPr>
      <w:r w:rsidRPr="00A16A5A">
        <w:rPr>
          <w:rFonts w:ascii="Times New Roman" w:hAnsi="Times New Roman" w:cs="Times New Roman"/>
          <w:lang w:val="ru-RU"/>
        </w:rPr>
        <w:t>При наданні інвестиційних послуг Клієнтам юридичним особам-нерезидентам, Інвестиційна фірма як податковий агент по виплатах доходів на користь нерезидента, утримує та перераховує суми податків до бюджету у строки та в порядку, визначеному законодавством України, зокрема, Податковим кодексом України.</w:t>
      </w:r>
    </w:p>
    <w:p w14:paraId="5C8ADF5B" w14:textId="77777777" w:rsidR="00A16A5A" w:rsidRPr="00A16A5A" w:rsidRDefault="00A16A5A" w:rsidP="007F51DB">
      <w:pPr>
        <w:numPr>
          <w:ilvl w:val="1"/>
          <w:numId w:val="11"/>
        </w:numPr>
        <w:spacing w:line="240" w:lineRule="auto"/>
        <w:ind w:left="0" w:firstLine="0"/>
        <w:rPr>
          <w:rFonts w:ascii="Times New Roman" w:hAnsi="Times New Roman" w:cs="Times New Roman"/>
          <w:lang w:val="ru-RU"/>
        </w:rPr>
      </w:pPr>
      <w:r w:rsidRPr="00A16A5A">
        <w:rPr>
          <w:rFonts w:ascii="Times New Roman" w:hAnsi="Times New Roman" w:cs="Times New Roman"/>
          <w:lang w:val="ru-RU"/>
        </w:rPr>
        <w:t> В разі якщо міжнародним договором про уникнення подвійного оподаткування укладеним між Україною та країною резидентом якої є Клієнт визначено іншу ставку податку ніж визначену Податковим кодексом України, Інвестиційна фірма може застосувати зменшену ставку податку або повне звільнення від оподаткування доходів нерезидентів в разі отримання від Клієнта необхідних для цього документів.</w:t>
      </w:r>
    </w:p>
    <w:p w14:paraId="56A7916E" w14:textId="77777777" w:rsidR="00A16A5A" w:rsidRPr="00A16A5A" w:rsidRDefault="00A16A5A" w:rsidP="007F51DB">
      <w:pPr>
        <w:numPr>
          <w:ilvl w:val="1"/>
          <w:numId w:val="11"/>
        </w:numPr>
        <w:spacing w:line="240" w:lineRule="auto"/>
        <w:ind w:left="0" w:firstLine="0"/>
        <w:rPr>
          <w:rFonts w:ascii="Times New Roman" w:hAnsi="Times New Roman" w:cs="Times New Roman"/>
          <w:lang w:val="ru-RU"/>
        </w:rPr>
      </w:pPr>
      <w:r w:rsidRPr="00A16A5A">
        <w:rPr>
          <w:rFonts w:ascii="Times New Roman" w:hAnsi="Times New Roman" w:cs="Times New Roman"/>
          <w:lang w:val="ru-RU"/>
        </w:rPr>
        <w:t>Після виконання (навіть часткового, якщо це передбачено Замовленням) Інвестиційна фірма протягом 15 (п’ятнадцяти) робочих днів надсилає Клієнту акт про виконання послуг податкового агента за цим Замовленням.</w:t>
      </w:r>
    </w:p>
    <w:p w14:paraId="3FBB90E0" w14:textId="28BCDA69" w:rsidR="00A16A5A" w:rsidRPr="00FC44FF" w:rsidRDefault="00A16A5A" w:rsidP="007F51DB">
      <w:pPr>
        <w:numPr>
          <w:ilvl w:val="1"/>
          <w:numId w:val="11"/>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lastRenderedPageBreak/>
        <w:t>Інвестиційна фірма протягом 15 (п’ятнадцяти) робочих днів після закінчення календарного року, або у разі закінчення дії цього Договору, надсилає Клієнту акт про виконання послуг податкового агента за вказаний у цьому звіті період та документи передбачені чинним законодавством України, зокрема, Податковим кодексом України.</w:t>
      </w:r>
    </w:p>
    <w:p w14:paraId="19B1BA9E" w14:textId="77777777" w:rsidR="00A16A5A" w:rsidRPr="00A16A5A" w:rsidRDefault="00A16A5A" w:rsidP="00FC44FF">
      <w:pPr>
        <w:spacing w:line="240" w:lineRule="auto"/>
        <w:jc w:val="center"/>
        <w:rPr>
          <w:rFonts w:ascii="Times New Roman" w:hAnsi="Times New Roman" w:cs="Times New Roman"/>
          <w:lang w:val="ru-RU"/>
        </w:rPr>
      </w:pPr>
      <w:r w:rsidRPr="00A16A5A">
        <w:rPr>
          <w:rFonts w:ascii="Times New Roman" w:hAnsi="Times New Roman" w:cs="Times New Roman"/>
          <w:b/>
          <w:bCs/>
          <w:lang w:val="ru-RU"/>
        </w:rPr>
        <w:t xml:space="preserve">6. ПОРЯДОК ПРОВЕДЕННЯ ОЦІНЮВАННЯ КЛІЄНТІВ ТА </w:t>
      </w:r>
      <w:r w:rsidRPr="00A16A5A">
        <w:rPr>
          <w:rFonts w:ascii="Times New Roman" w:hAnsi="Times New Roman" w:cs="Times New Roman"/>
          <w:b/>
          <w:bCs/>
          <w:lang w:val="ru-RU"/>
        </w:rPr>
        <w:br/>
        <w:t>ПОВТОРНОГО ОЦІНЮВАННЯ КЛІЄНТІВ</w:t>
      </w:r>
    </w:p>
    <w:p w14:paraId="5250FFB0" w14:textId="2D87D469" w:rsidR="00A16A5A" w:rsidRPr="00FC44FF" w:rsidRDefault="00FC44FF" w:rsidP="007F51DB">
      <w:pPr>
        <w:pStyle w:val="a7"/>
        <w:numPr>
          <w:ilvl w:val="1"/>
          <w:numId w:val="12"/>
        </w:numPr>
        <w:spacing w:line="240" w:lineRule="auto"/>
        <w:rPr>
          <w:rFonts w:ascii="Times New Roman" w:hAnsi="Times New Roman" w:cs="Times New Roman"/>
          <w:lang w:val="ru-RU"/>
        </w:rPr>
      </w:pPr>
      <w:r>
        <w:rPr>
          <w:rFonts w:ascii="Times New Roman" w:hAnsi="Times New Roman" w:cs="Times New Roman"/>
          <w:lang w:val="ru-RU"/>
        </w:rPr>
        <w:t xml:space="preserve">  </w:t>
      </w:r>
      <w:r w:rsidR="00A16A5A" w:rsidRPr="00FC44FF">
        <w:rPr>
          <w:rFonts w:ascii="Times New Roman" w:hAnsi="Times New Roman" w:cs="Times New Roman"/>
          <w:lang w:val="ru-RU"/>
        </w:rPr>
        <w:t>Порядок визнання Клієнта Професійним клієнтом (інвестором):</w:t>
      </w:r>
    </w:p>
    <w:p w14:paraId="086DD6F0" w14:textId="53B8A312" w:rsidR="00A16A5A" w:rsidRPr="00FC44FF" w:rsidRDefault="00A16A5A" w:rsidP="007F51DB">
      <w:pPr>
        <w:pStyle w:val="a7"/>
        <w:numPr>
          <w:ilvl w:val="2"/>
          <w:numId w:val="12"/>
        </w:numPr>
        <w:spacing w:line="240" w:lineRule="auto"/>
        <w:rPr>
          <w:rFonts w:ascii="Times New Roman" w:hAnsi="Times New Roman" w:cs="Times New Roman"/>
          <w:lang w:val="ru-RU"/>
        </w:rPr>
      </w:pPr>
      <w:r w:rsidRPr="00FC44FF">
        <w:rPr>
          <w:rFonts w:ascii="Times New Roman" w:hAnsi="Times New Roman" w:cs="Times New Roman"/>
          <w:lang w:val="ru-RU"/>
        </w:rPr>
        <w:t>Клієнт - фізична особа, яка  претендує  на отримання категорії  Професійного клієнта  (інвестор),  направляє  на адресу Інвестиційної фірми встановленої форми заяву з наданням документів, що підтверджують її відповідність вимогам, дотримання яких необхідні для визнання його Професійним клієнтом (інвестором) відповідно до цього Генерального договору.</w:t>
      </w:r>
    </w:p>
    <w:p w14:paraId="78DB5A0D" w14:textId="1489133B" w:rsidR="00A16A5A" w:rsidRPr="00FC44FF" w:rsidRDefault="00A16A5A" w:rsidP="007F51DB">
      <w:pPr>
        <w:pStyle w:val="a7"/>
        <w:numPr>
          <w:ilvl w:val="2"/>
          <w:numId w:val="12"/>
        </w:numPr>
        <w:spacing w:line="240" w:lineRule="auto"/>
        <w:rPr>
          <w:rFonts w:ascii="Times New Roman" w:hAnsi="Times New Roman" w:cs="Times New Roman"/>
          <w:lang w:val="ru-RU"/>
        </w:rPr>
      </w:pPr>
      <w:r w:rsidRPr="00FC44FF">
        <w:rPr>
          <w:rFonts w:ascii="Times New Roman" w:hAnsi="Times New Roman" w:cs="Times New Roman"/>
          <w:lang w:val="ru-RU"/>
        </w:rPr>
        <w:t>Фізична особа може бути визнана Професійним клієнтом (інвестором), якщо вона відповідає принаймні двом будь-яким із зазначених вимог:</w:t>
      </w:r>
    </w:p>
    <w:p w14:paraId="121A8CA7"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1) протягом останніх чотирьох кварталів укладала та виконувала щокварталу не менше 10 правочинів щодо фінансових інструментів, розмір яких є значним відповідно до критеріїв, визначених Національною комісією з цінних паперів та фондового ринку;</w:t>
      </w:r>
    </w:p>
    <w:p w14:paraId="1F9293C0"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2) володіє коштами, розміщеними на банківських рахунках, та цінними паперами на загальну суму більше 0,5 мільйона гривень;</w:t>
      </w:r>
    </w:p>
    <w:p w14:paraId="553ADF40"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3) має досвід проведення операцій на ринках капіталу не менше одного року або мають стаж роботи у фінансовій установі (або іноземній юридичній особі, яка має аналогічний статус відповідно до законодавства іншої держави) за відповідним фахом не менше одного року;</w:t>
      </w:r>
    </w:p>
    <w:p w14:paraId="4E93846C" w14:textId="7CDCA84C" w:rsidR="00A16A5A" w:rsidRPr="00FC44FF" w:rsidRDefault="00A16A5A" w:rsidP="007F51DB">
      <w:pPr>
        <w:pStyle w:val="a7"/>
        <w:numPr>
          <w:ilvl w:val="2"/>
          <w:numId w:val="12"/>
        </w:numPr>
        <w:spacing w:line="240" w:lineRule="auto"/>
        <w:rPr>
          <w:rFonts w:ascii="Times New Roman" w:hAnsi="Times New Roman" w:cs="Times New Roman"/>
          <w:lang w:val="ru-RU"/>
        </w:rPr>
      </w:pPr>
      <w:r w:rsidRPr="00FC44FF">
        <w:rPr>
          <w:rFonts w:ascii="Times New Roman" w:hAnsi="Times New Roman" w:cs="Times New Roman"/>
          <w:lang w:val="ru-RU"/>
        </w:rPr>
        <w:t>Клієнт - юридична особа, що претендує на отримання статусу Професійного клієнта (інвестора), направляє на адресу Інвестиційної фірми встановленої форми заяву, яка підписана уповноваженою особою, з додатком документів, що підтверджують дотримання вимог, необхідних для визнання такого Клієнта - Професійним клієнтом (інвестором) відповідно до умов цього Генерального договору. </w:t>
      </w:r>
    </w:p>
    <w:p w14:paraId="0C4C0BD6" w14:textId="56BC9FB6" w:rsidR="00A16A5A" w:rsidRPr="00FC44FF" w:rsidRDefault="00A16A5A" w:rsidP="007F51DB">
      <w:pPr>
        <w:pStyle w:val="a7"/>
        <w:numPr>
          <w:ilvl w:val="2"/>
          <w:numId w:val="12"/>
        </w:numPr>
        <w:spacing w:line="240" w:lineRule="auto"/>
        <w:rPr>
          <w:rFonts w:ascii="Times New Roman" w:hAnsi="Times New Roman" w:cs="Times New Roman"/>
          <w:lang w:val="ru-RU"/>
        </w:rPr>
      </w:pPr>
      <w:r w:rsidRPr="00FC44FF">
        <w:rPr>
          <w:rFonts w:ascii="Times New Roman" w:hAnsi="Times New Roman" w:cs="Times New Roman"/>
          <w:lang w:val="ru-RU"/>
        </w:rPr>
        <w:t>Юридична особа, у тому числі створена за законодавством іншої держави, може бути визнана «Професійним клієнтом» (інвестором), якщо вона відповідає принаймні двом будь-яким із зазначених вимог:</w:t>
      </w:r>
    </w:p>
    <w:p w14:paraId="5C6EDA18"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1) підсумок балансу становить не менше 20 мільйонів гривень;</w:t>
      </w:r>
    </w:p>
    <w:p w14:paraId="23B1C441"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2) річний чистий дохід від реалізації товарів, робіт і послуг за останній фінансовий рік становить не менше 40 мільйонів гривень;</w:t>
      </w:r>
    </w:p>
    <w:p w14:paraId="75C2BCEA"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3) власні кошти становлять не менше 2 мільйонів гривень. </w:t>
      </w:r>
    </w:p>
    <w:p w14:paraId="4AD64BE7" w14:textId="13FE2A8F" w:rsidR="00A16A5A" w:rsidRPr="00FC44FF" w:rsidRDefault="00FC44FF" w:rsidP="007F51DB">
      <w:pPr>
        <w:pStyle w:val="a7"/>
        <w:numPr>
          <w:ilvl w:val="1"/>
          <w:numId w:val="12"/>
        </w:numPr>
        <w:spacing w:line="240" w:lineRule="auto"/>
        <w:ind w:left="0" w:firstLine="0"/>
        <w:rPr>
          <w:rFonts w:ascii="Times New Roman" w:hAnsi="Times New Roman" w:cs="Times New Roman"/>
          <w:lang w:val="ru-RU"/>
        </w:rPr>
      </w:pPr>
      <w:r>
        <w:rPr>
          <w:rFonts w:ascii="Times New Roman" w:hAnsi="Times New Roman" w:cs="Times New Roman"/>
          <w:lang w:val="ru-RU"/>
        </w:rPr>
        <w:t xml:space="preserve"> </w:t>
      </w:r>
      <w:r w:rsidR="00A16A5A" w:rsidRPr="00FC44FF">
        <w:rPr>
          <w:rFonts w:ascii="Times New Roman" w:hAnsi="Times New Roman" w:cs="Times New Roman"/>
          <w:lang w:val="ru-RU"/>
        </w:rPr>
        <w:t>Порядок визнання Клієнта Професійним клієнтом ( інвестором):</w:t>
      </w:r>
    </w:p>
    <w:p w14:paraId="1A2AB02A" w14:textId="51977C6C" w:rsidR="00A16A5A" w:rsidRPr="00FC44FF" w:rsidRDefault="00A16A5A" w:rsidP="007F51DB">
      <w:pPr>
        <w:pStyle w:val="a7"/>
        <w:numPr>
          <w:ilvl w:val="2"/>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Інвестиційна фірма здійснює перевірку поданих заявником документів на предмет дотримання вимог, відповідність яким необхідна для визнання Клієнта Професійним клієнтом (інвестором), і приймає рішення про визнання або про відмову у визнанні Клієнта Професійним клієнтом (інвестором) в термін, що не перевищує 5 (п'яти) робочих днів з дати надходження до Інвестиційної фірми заяви та належним чином засвідчених документів. Інвестиційна фірма має право вимагати від Клієнта додаткові документи, що підтверджують його відповідність вимогам, дотримання яких необхідні для визнання Клієнта Професійним клієнтом (інвестором). У цьому випадку 5-денний термін розгляду документів зупиняється з дня направлення Інвестиційною фірмою запиту заявнику до дати подання Клієнтом повного комплекту документів, передбаченого запитом.</w:t>
      </w:r>
    </w:p>
    <w:p w14:paraId="72B50D87" w14:textId="6AF7AF31" w:rsidR="00A16A5A" w:rsidRPr="00FC44FF" w:rsidRDefault="00A16A5A" w:rsidP="007F51DB">
      <w:pPr>
        <w:pStyle w:val="a7"/>
        <w:numPr>
          <w:ilvl w:val="2"/>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У разі прийняття Інвестиційною фірмою рішення про визнання Клієнта Професійним клієнтом (інвестором), Клієнту протягом 5 (п'яти) робочих днів надсилається письмове Повідомлення про визнання Клієнта Професійним клієнтом (інвестором). Повідомлення надсилається поштою на адресу, вказану в Генеральному договорі (індивідуальна частина), або вручається особисто.</w:t>
      </w:r>
    </w:p>
    <w:p w14:paraId="26D4DED1" w14:textId="5B3AA018" w:rsidR="00A16A5A" w:rsidRPr="00FC44FF" w:rsidRDefault="00A16A5A" w:rsidP="007F51DB">
      <w:pPr>
        <w:pStyle w:val="a7"/>
        <w:numPr>
          <w:ilvl w:val="2"/>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Інвестиційна фірма має право відмовити у визнанні Клієнта Професійним клієнтом (інвестором). При цьому повернення Інвестиційною фірмою наданих заявником документів не проводиться.</w:t>
      </w:r>
    </w:p>
    <w:p w14:paraId="4EB4687B" w14:textId="56969226" w:rsidR="00A16A5A" w:rsidRPr="00FC44FF" w:rsidRDefault="00A16A5A" w:rsidP="007F51DB">
      <w:pPr>
        <w:pStyle w:val="a7"/>
        <w:numPr>
          <w:ilvl w:val="2"/>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 xml:space="preserve">У разі прийняття Інвестиційною фірмою рішення про відмову у визнанні Клієнта Професійним клієнтом (інвестором), Клієнту протягом 5 (п'яти) робочих днів з дати прийняття відповідного рішення (у разі первинного звернення Клієнта з проханням визнати його Професійним клієнтом) надсилається письмове </w:t>
      </w:r>
      <w:r w:rsidRPr="00FC44FF">
        <w:rPr>
          <w:rFonts w:ascii="Times New Roman" w:hAnsi="Times New Roman" w:cs="Times New Roman"/>
          <w:lang w:val="ru-RU"/>
        </w:rPr>
        <w:lastRenderedPageBreak/>
        <w:t>повідомлення про відмову у визнанні Клієнта Кваліфікованим інвестором.</w:t>
      </w:r>
      <w:r w:rsidR="00FC44FF">
        <w:rPr>
          <w:rFonts w:ascii="Times New Roman" w:hAnsi="Times New Roman" w:cs="Times New Roman"/>
          <w:lang w:val="ru-RU"/>
        </w:rPr>
        <w:t xml:space="preserve"> </w:t>
      </w:r>
      <w:r w:rsidRPr="00FC44FF">
        <w:rPr>
          <w:rFonts w:ascii="Times New Roman" w:hAnsi="Times New Roman" w:cs="Times New Roman"/>
          <w:lang w:val="ru-RU"/>
        </w:rPr>
        <w:t>Повідомлення надсилається поштою на адресу, вказану в Генеральному договорі (індивідуальна частина), або вручається особисто.</w:t>
      </w:r>
    </w:p>
    <w:p w14:paraId="7A1908BA" w14:textId="02C26986" w:rsidR="00A16A5A" w:rsidRPr="00FC44FF" w:rsidRDefault="00A16A5A"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За результатом проведення оцінювання, по відношенню до всіх фінансових послуг та/або щодо окремого правочину чи типів правочинів щодо фінансових інструментів, до категорії Професійний клієнт (Інвестор), відносяться наступні категорії осіб:</w:t>
      </w:r>
    </w:p>
    <w:p w14:paraId="2D70C3CE" w14:textId="77777777" w:rsidR="00A16A5A" w:rsidRPr="00A16A5A" w:rsidRDefault="00A16A5A" w:rsidP="00FC44FF">
      <w:pPr>
        <w:spacing w:line="240" w:lineRule="auto"/>
        <w:rPr>
          <w:rFonts w:ascii="Times New Roman" w:hAnsi="Times New Roman" w:cs="Times New Roman"/>
          <w:lang w:val="ru-RU"/>
        </w:rPr>
      </w:pPr>
      <w:r w:rsidRPr="00A16A5A">
        <w:rPr>
          <w:rFonts w:ascii="Times New Roman" w:hAnsi="Times New Roman" w:cs="Times New Roman"/>
          <w:lang w:val="ru-RU"/>
        </w:rPr>
        <w:t>1) міжнародні фінансові організації;</w:t>
      </w:r>
    </w:p>
    <w:p w14:paraId="5A146F9B" w14:textId="77777777" w:rsidR="00A16A5A" w:rsidRPr="00A16A5A" w:rsidRDefault="00A16A5A" w:rsidP="00FC44FF">
      <w:pPr>
        <w:spacing w:line="240" w:lineRule="auto"/>
        <w:rPr>
          <w:rFonts w:ascii="Times New Roman" w:hAnsi="Times New Roman" w:cs="Times New Roman"/>
          <w:lang w:val="ru-RU"/>
        </w:rPr>
      </w:pPr>
      <w:r w:rsidRPr="00A16A5A">
        <w:rPr>
          <w:rFonts w:ascii="Times New Roman" w:hAnsi="Times New Roman" w:cs="Times New Roman"/>
          <w:lang w:val="ru-RU"/>
        </w:rPr>
        <w:t>2) іноземні держави та їхні центральні банки;</w:t>
      </w:r>
    </w:p>
    <w:p w14:paraId="5D0A68DF" w14:textId="77777777" w:rsidR="00A16A5A" w:rsidRPr="00A16A5A" w:rsidRDefault="00A16A5A" w:rsidP="00FC44FF">
      <w:pPr>
        <w:spacing w:line="240" w:lineRule="auto"/>
        <w:rPr>
          <w:rFonts w:ascii="Times New Roman" w:hAnsi="Times New Roman" w:cs="Times New Roman"/>
          <w:lang w:val="ru-RU"/>
        </w:rPr>
      </w:pPr>
      <w:r w:rsidRPr="00A16A5A">
        <w:rPr>
          <w:rFonts w:ascii="Times New Roman" w:hAnsi="Times New Roman" w:cs="Times New Roman"/>
          <w:lang w:val="ru-RU"/>
        </w:rPr>
        <w:t>3) держава Україна в особі центрального органу виконавчої влади, уповноваженого на реалізацію державної бюджетної політики у сфері управління державним боргом та гарантованим державою боргом;</w:t>
      </w:r>
    </w:p>
    <w:p w14:paraId="73660B80" w14:textId="77777777" w:rsidR="00A16A5A" w:rsidRPr="00A16A5A" w:rsidRDefault="00A16A5A" w:rsidP="00FC44FF">
      <w:pPr>
        <w:spacing w:line="240" w:lineRule="auto"/>
        <w:rPr>
          <w:rFonts w:ascii="Times New Roman" w:hAnsi="Times New Roman" w:cs="Times New Roman"/>
          <w:lang w:val="ru-RU"/>
        </w:rPr>
      </w:pPr>
      <w:r w:rsidRPr="00A16A5A">
        <w:rPr>
          <w:rFonts w:ascii="Times New Roman" w:hAnsi="Times New Roman" w:cs="Times New Roman"/>
          <w:lang w:val="ru-RU"/>
        </w:rPr>
        <w:t>4) Національний банк України;</w:t>
      </w:r>
    </w:p>
    <w:p w14:paraId="2CD41B32" w14:textId="77777777" w:rsidR="00A16A5A" w:rsidRPr="00A16A5A" w:rsidRDefault="00A16A5A" w:rsidP="00FC44FF">
      <w:pPr>
        <w:spacing w:line="240" w:lineRule="auto"/>
        <w:rPr>
          <w:rFonts w:ascii="Times New Roman" w:hAnsi="Times New Roman" w:cs="Times New Roman"/>
          <w:lang w:val="ru-RU"/>
        </w:rPr>
      </w:pPr>
      <w:r w:rsidRPr="00A16A5A">
        <w:rPr>
          <w:rFonts w:ascii="Times New Roman" w:hAnsi="Times New Roman" w:cs="Times New Roman"/>
          <w:lang w:val="ru-RU"/>
        </w:rPr>
        <w:t>5) професійні учасники ринків капіталу, банки та страхові компанії;</w:t>
      </w:r>
    </w:p>
    <w:p w14:paraId="60242401" w14:textId="77777777" w:rsidR="00A16A5A" w:rsidRPr="00A16A5A" w:rsidRDefault="00A16A5A" w:rsidP="00FC44FF">
      <w:pPr>
        <w:spacing w:line="240" w:lineRule="auto"/>
        <w:rPr>
          <w:rFonts w:ascii="Times New Roman" w:hAnsi="Times New Roman" w:cs="Times New Roman"/>
          <w:lang w:val="ru-RU"/>
        </w:rPr>
      </w:pPr>
      <w:r w:rsidRPr="00A16A5A">
        <w:rPr>
          <w:rFonts w:ascii="Times New Roman" w:hAnsi="Times New Roman" w:cs="Times New Roman"/>
          <w:lang w:val="ru-RU"/>
        </w:rPr>
        <w:t>6) іноземні фінансові установи, що відповідають критеріям, встановленим Національною комісією з цінних паперів та фондового ринку.</w:t>
      </w:r>
    </w:p>
    <w:p w14:paraId="65862835" w14:textId="3049E03E" w:rsidR="00A16A5A" w:rsidRPr="00FC44FF" w:rsidRDefault="00FC44FF" w:rsidP="007F51DB">
      <w:pPr>
        <w:pStyle w:val="a7"/>
        <w:numPr>
          <w:ilvl w:val="1"/>
          <w:numId w:val="12"/>
        </w:numPr>
        <w:spacing w:line="240" w:lineRule="auto"/>
        <w:ind w:left="0" w:firstLine="0"/>
        <w:rPr>
          <w:rFonts w:ascii="Times New Roman" w:hAnsi="Times New Roman" w:cs="Times New Roman"/>
          <w:lang w:val="ru-RU"/>
        </w:rPr>
      </w:pPr>
      <w:r>
        <w:rPr>
          <w:rFonts w:ascii="Times New Roman" w:hAnsi="Times New Roman" w:cs="Times New Roman"/>
          <w:lang w:val="ru-RU"/>
        </w:rPr>
        <w:t xml:space="preserve"> </w:t>
      </w:r>
      <w:r w:rsidR="00A16A5A" w:rsidRPr="00FC44FF">
        <w:rPr>
          <w:rFonts w:ascii="Times New Roman" w:hAnsi="Times New Roman" w:cs="Times New Roman"/>
          <w:lang w:val="ru-RU"/>
        </w:rPr>
        <w:t>Клієнт, який є Професійним клієнтом (інвестором) згідно п. 6.3. цього Генерального договору (публічна частина), повинен представити документ Інвестиційній фірмі, що підтверджують його приналежність до тієї або іншої категорії.</w:t>
      </w:r>
    </w:p>
    <w:p w14:paraId="66C15E08" w14:textId="4FFA8921" w:rsidR="00A16A5A" w:rsidRPr="00FC44FF" w:rsidRDefault="00A16A5A"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Клієнт, який не підпадає ні під одну з категорій осіб, перерахованих в п. 6.3. цього Генерального договору (публічна частина), може бути визнаний Інвестиційною фірмою Непрофесійним клієнтом (інвестором) на підставі відповідної Заяви, що направляється в порядку, передбаченому Генеральним договором.</w:t>
      </w:r>
    </w:p>
    <w:p w14:paraId="23413E83" w14:textId="252FBBDD" w:rsidR="00A16A5A" w:rsidRPr="00FC44FF" w:rsidRDefault="00A16A5A"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Клієнт, визнаний відповідно до п. 6.3. цього Генерального договору Професійним клієнтом (інвестором), в разі втрати статусу Професійного клієнта (інвестор) зобов'язаний повідомити про це Інвестиційну фірму.</w:t>
      </w:r>
    </w:p>
    <w:p w14:paraId="1907E6C2" w14:textId="208F0853" w:rsidR="00A16A5A" w:rsidRPr="00FC44FF" w:rsidRDefault="00A16A5A"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Заявник отримує статус Професійним клієнтом (інвестора) у цілому або щодо конкретної фінансової послуги та/або стосовно окремого правочину (окремих типів правочинів) щодо фінансових інструментів в день визнання Клієнта уповноваженою особою Інвестиційної фірми Професійним клієнтом (інвестором) (далі - Дата присвоєння статусу Професійним клієнтом).</w:t>
      </w:r>
    </w:p>
    <w:p w14:paraId="5F2C58AC" w14:textId="7DDC38FE" w:rsidR="00A16A5A" w:rsidRPr="00FC44FF" w:rsidRDefault="00A16A5A"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Клієнт, який визнаний Професійним клієнтом (інвестором), зобов'язаний щорічно підтверджувати дотримання вимог, відповідність яким необхідно для визнання особи Професійним клієнтом (інвестором).</w:t>
      </w:r>
    </w:p>
    <w:p w14:paraId="4352A12A" w14:textId="40664953" w:rsidR="00A16A5A" w:rsidRPr="00FC44FF" w:rsidRDefault="00A16A5A"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Клієнт, який визнаний Професійним клієнтом (інвестором), має право звернутися до Інвестиційної фірми з заявою про відмову від статусу Професійного клієнта (інвестора) у цілому або щодо конкретної фінансової послуги та/або стосовно окремого правочину (окремих типів правочинів) щодо фінансових інструментів, щодо яких Клієнта було визнано Професійним клієнтом (інвестором). У задоволенні такої заяви Інвестиційна фірма відмовити не може.</w:t>
      </w:r>
    </w:p>
    <w:p w14:paraId="53FDAA90" w14:textId="4E45578B" w:rsidR="00A16A5A" w:rsidRPr="00FC44FF" w:rsidRDefault="00A16A5A"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Клієнт, визнаний Професійним клієнтом (інвестором) у цілому або щодо конкретної фінансової послуги та/або стосовно окремого правочину (окремих типів правочинів) щодо фінансових інструментів, має право звернутися до Інвестиційної фірми з відповідною заявою про визнання його Професійним клієнтом (інвестором) щодо інших фінансових інструментів, інших видів послуг, призначених для Професійним клієнтом (інвесторів).</w:t>
      </w:r>
    </w:p>
    <w:p w14:paraId="45853C24" w14:textId="7DF51EFA" w:rsidR="00A16A5A" w:rsidRPr="00FC44FF" w:rsidRDefault="00A16A5A"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Рішення про визнання або відмову у визнанні особи Професійним клієнтом (інвестором) щодо інших фінансових інструментів, інших видів послуг, призначених для Професійних клієнтів (інвесторів), направляється відповідним письмовим повідомленням  поштою на адресу Клієнту протягом 5 (п'яти) робочих днів з дати прийняття такого рішення уповноваженою особою Інвестиційної фірми. </w:t>
      </w:r>
    </w:p>
    <w:p w14:paraId="5C0F5500" w14:textId="3678374F" w:rsidR="00A16A5A" w:rsidRPr="00FC44FF" w:rsidRDefault="00FC44FF"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В</w:t>
      </w:r>
      <w:r w:rsidR="00A16A5A" w:rsidRPr="00FC44FF">
        <w:rPr>
          <w:rFonts w:ascii="Times New Roman" w:hAnsi="Times New Roman" w:cs="Times New Roman"/>
          <w:lang w:val="ru-RU"/>
        </w:rPr>
        <w:t>ідповідальність за достовірність документів, поданих Клієнтом Інвестиційній фірмі, а також інформації, яка міститься в таких документах, несе Клієнт.</w:t>
      </w:r>
      <w:r>
        <w:rPr>
          <w:rFonts w:ascii="Times New Roman" w:hAnsi="Times New Roman" w:cs="Times New Roman"/>
          <w:lang w:val="ru-RU"/>
        </w:rPr>
        <w:t xml:space="preserve"> </w:t>
      </w:r>
      <w:r w:rsidR="00A16A5A" w:rsidRPr="00FC44FF">
        <w:rPr>
          <w:rFonts w:ascii="Times New Roman" w:hAnsi="Times New Roman" w:cs="Times New Roman"/>
          <w:lang w:val="ru-RU"/>
        </w:rPr>
        <w:t>Визнання Клієнта Професійним клієнтом (інвестором) на підставі наданої ним недостовірної інформації не є підставою недійсності угод, укладених за рахунок цієї особи.</w:t>
      </w:r>
    </w:p>
    <w:p w14:paraId="533CC4CE" w14:textId="0D18D96E" w:rsidR="00A16A5A" w:rsidRPr="00FC44FF" w:rsidRDefault="00A16A5A"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У разі недотримання Клієнтом вимог, відповідність яким необхідна для визнання його Професійним клієнтом (інвестором), в тому числі при наданні особою недостовірної інформації у документах, Інвестиційна фірма має провести повторну оцінку та позбавити Клієнта категорії Професійний клієнт.</w:t>
      </w:r>
    </w:p>
    <w:p w14:paraId="5D56EA93" w14:textId="2BA7CB82" w:rsidR="00A16A5A" w:rsidRPr="00FC44FF" w:rsidRDefault="00A16A5A"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 xml:space="preserve">Юридична особа, визнана Професійним клієнтом (інвесторам), зобов'язана в будь-який час за запитом Інвестиційної фірми надавати інші документи, що підтверджують її відповідність вимогам для визнання </w:t>
      </w:r>
      <w:r w:rsidRPr="00FC44FF">
        <w:rPr>
          <w:rFonts w:ascii="Times New Roman" w:hAnsi="Times New Roman" w:cs="Times New Roman"/>
          <w:lang w:val="ru-RU"/>
        </w:rPr>
        <w:lastRenderedPageBreak/>
        <w:t>Клієнта Професійним клієнтом (інвестором), не пізніше 5 (п'яти) робочих днів з дня отримання відповідного запиту від Інвестиційної фірми.</w:t>
      </w:r>
    </w:p>
    <w:p w14:paraId="6A71FE23" w14:textId="4736BA1E" w:rsidR="00A16A5A" w:rsidRPr="00FC44FF" w:rsidRDefault="00A16A5A"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Клієнти, визнані Професійними клієнтами (інвесторами),  зобов’язані інформувати Інвестиційну фірму про будь-яку зміну, що може вплинути на їх відповідність критеріям для визнання Клієнта Професійним клієнтом (інвестором).</w:t>
      </w:r>
    </w:p>
    <w:p w14:paraId="322F84C5" w14:textId="60E7683C" w:rsidR="00A16A5A" w:rsidRPr="00FC44FF" w:rsidRDefault="00A16A5A"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Інвестиційна фірма не пізніше, ніж за 30 (тридцять) календарних днів до закінчення 1 (одного) року з моменту визнання Клієнта Професійним клієнтом (інвестором) направляє письмову вимогу в довільній формі про підтвердження дотримання вимог, відповідність яким необхідна для визнання особи Професійним клієнтом. Вимога надсилається електронною поштою на електронну адресу, вказану в анкеті Клієнта, або вручається особисто. Клієнт зобов’язаний виконати вимогу та підтвердити дотримання вимог, відповідність яким необхідна для визнання особи Професійним клієнтом (інвестором), шляхом надання підтверджуючих документів.</w:t>
      </w:r>
    </w:p>
    <w:p w14:paraId="64053D4D" w14:textId="0EAB4422" w:rsidR="00A16A5A" w:rsidRPr="00FC44FF" w:rsidRDefault="00A16A5A"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Клієнти, які не є або не були визнані Професійним клієнтом, є Непрофесійними клієнтами (інвесторами).</w:t>
      </w:r>
    </w:p>
    <w:p w14:paraId="380D949B" w14:textId="70A0A4CC" w:rsidR="00A16A5A" w:rsidRPr="00FC44FF" w:rsidRDefault="00A16A5A"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Всі питання, не врегульовані Генеральним договором, регламентуються нормативно-правовими актами НКЦПФР і внутрішніми документами Інвестиційної фірми.</w:t>
      </w:r>
    </w:p>
    <w:p w14:paraId="4538B0D1" w14:textId="2CA71789" w:rsidR="00A16A5A" w:rsidRPr="00FC44FF" w:rsidRDefault="00A16A5A" w:rsidP="007F51DB">
      <w:pPr>
        <w:pStyle w:val="a7"/>
        <w:numPr>
          <w:ilvl w:val="1"/>
          <w:numId w:val="12"/>
        </w:numPr>
        <w:spacing w:line="240" w:lineRule="auto"/>
        <w:ind w:left="0" w:firstLine="0"/>
        <w:rPr>
          <w:rFonts w:ascii="Times New Roman" w:hAnsi="Times New Roman" w:cs="Times New Roman"/>
          <w:lang w:val="ru-RU"/>
        </w:rPr>
      </w:pPr>
      <w:r w:rsidRPr="00FC44FF">
        <w:rPr>
          <w:rFonts w:ascii="Times New Roman" w:hAnsi="Times New Roman" w:cs="Times New Roman"/>
          <w:lang w:val="ru-RU"/>
        </w:rPr>
        <w:t>У разі якщо Клієнт протягом 1 (одного) року з моменту визнання його Професійним клієнтом (інвестором) або попереднього підтвердження дотримання вимог не підтвердив дотримання вимог, відповідність яким необхідна для визнання особи Професійним клієнтом (інвестором), Інвестиційна фірма протягом 5 (п'яти) робочих днів з дати закінчення зазначеного терміну приймає рішення про позбавлення Клієнта - юридичної особи категорії Професійного клієнта (інвестора), та направляє йому відповідне повідомлення.</w:t>
      </w:r>
      <w:r w:rsidR="00FC44FF" w:rsidRPr="00FC44FF">
        <w:rPr>
          <w:rFonts w:ascii="Times New Roman" w:hAnsi="Times New Roman" w:cs="Times New Roman"/>
          <w:lang w:val="ru-RU"/>
        </w:rPr>
        <w:t xml:space="preserve"> </w:t>
      </w:r>
      <w:r w:rsidRPr="00FC44FF">
        <w:rPr>
          <w:rFonts w:ascii="Times New Roman" w:hAnsi="Times New Roman" w:cs="Times New Roman"/>
          <w:lang w:val="ru-RU"/>
        </w:rPr>
        <w:t>Повідомлення надсилається поштою на адресу, вказану в Генеральному договорі (індивідуальна частина), або вручається особисто.</w:t>
      </w:r>
    </w:p>
    <w:p w14:paraId="0A6652C3" w14:textId="77777777" w:rsidR="00A16A5A" w:rsidRPr="00A16A5A" w:rsidRDefault="00A16A5A" w:rsidP="004F09D8">
      <w:pPr>
        <w:spacing w:line="240" w:lineRule="auto"/>
        <w:jc w:val="center"/>
        <w:rPr>
          <w:rFonts w:ascii="Times New Roman" w:hAnsi="Times New Roman" w:cs="Times New Roman"/>
          <w:lang w:val="ru-RU"/>
        </w:rPr>
      </w:pPr>
      <w:r w:rsidRPr="00A16A5A">
        <w:rPr>
          <w:rFonts w:ascii="Times New Roman" w:hAnsi="Times New Roman" w:cs="Times New Roman"/>
          <w:b/>
          <w:bCs/>
          <w:lang w:val="ru-RU"/>
        </w:rPr>
        <w:t>7. ПОЛІТИКА ЩОДО КОНФЛІКТУ ІНТЕРЕСІВ</w:t>
      </w:r>
    </w:p>
    <w:p w14:paraId="1281A9BB" w14:textId="345EBCA9" w:rsidR="00A16A5A" w:rsidRPr="004F09D8" w:rsidRDefault="00A16A5A" w:rsidP="007F51DB">
      <w:pPr>
        <w:pStyle w:val="a7"/>
        <w:numPr>
          <w:ilvl w:val="1"/>
          <w:numId w:val="13"/>
        </w:numPr>
        <w:spacing w:line="240" w:lineRule="auto"/>
        <w:ind w:left="0" w:firstLine="0"/>
        <w:rPr>
          <w:rFonts w:ascii="Times New Roman" w:hAnsi="Times New Roman" w:cs="Times New Roman"/>
          <w:lang w:val="ru-RU"/>
        </w:rPr>
      </w:pPr>
      <w:r w:rsidRPr="004F09D8">
        <w:rPr>
          <w:rFonts w:ascii="Times New Roman" w:hAnsi="Times New Roman" w:cs="Times New Roman"/>
          <w:lang w:val="ru-RU"/>
        </w:rPr>
        <w:t>Інвестиційна фірма з метою запобігання виникнення конфлікту інтересів з Клієнтом або декількома Клієнтами, провадить професійну діяльність з урахуванням обов’язків та обмежень, встановлених, чинним законодавством України та внутрішніми документами Інвестиційної фірми, що регламентують питання щодо визначення, виявлення, управління, уникнення, запобігання та розкриття потенційних або дійсних конфліктів інтересів.</w:t>
      </w:r>
    </w:p>
    <w:p w14:paraId="135928D4" w14:textId="001D9FD8" w:rsidR="00A16A5A" w:rsidRPr="004F09D8" w:rsidRDefault="00A16A5A" w:rsidP="007F51DB">
      <w:pPr>
        <w:pStyle w:val="a7"/>
        <w:numPr>
          <w:ilvl w:val="1"/>
          <w:numId w:val="13"/>
        </w:numPr>
        <w:spacing w:line="240" w:lineRule="auto"/>
        <w:ind w:left="0" w:firstLine="0"/>
        <w:rPr>
          <w:rFonts w:ascii="Times New Roman" w:hAnsi="Times New Roman" w:cs="Times New Roman"/>
          <w:lang w:val="ru-RU"/>
        </w:rPr>
      </w:pPr>
      <w:r w:rsidRPr="004F09D8">
        <w:rPr>
          <w:rFonts w:ascii="Times New Roman" w:hAnsi="Times New Roman" w:cs="Times New Roman"/>
          <w:lang w:val="ru-RU"/>
        </w:rPr>
        <w:t>Конфлікт інтересів визначається як ситуація, за якою особа має виконувати декілька обов’язків або має декілька інтересів, що суперечать один одному, і таким чином вказана ситуація спричиняє наявний або потенційний конфлікт між особистими (приватними) інтересами та посадовими або професійними обов’язками керівника/працівника, що може вплинути на добросовісне виконання ним своїх повноважень, об'єктивність та неупередженість прийняття рішень.</w:t>
      </w:r>
    </w:p>
    <w:p w14:paraId="5E8001D7" w14:textId="5CAF93D0" w:rsidR="00A16A5A" w:rsidRPr="004F09D8" w:rsidRDefault="00A16A5A" w:rsidP="007F51DB">
      <w:pPr>
        <w:pStyle w:val="a7"/>
        <w:numPr>
          <w:ilvl w:val="1"/>
          <w:numId w:val="13"/>
        </w:numPr>
        <w:spacing w:line="240" w:lineRule="auto"/>
        <w:ind w:left="0" w:firstLine="0"/>
        <w:rPr>
          <w:rFonts w:ascii="Times New Roman" w:hAnsi="Times New Roman" w:cs="Times New Roman"/>
          <w:lang w:val="ru-RU"/>
        </w:rPr>
      </w:pPr>
      <w:r w:rsidRPr="004F09D8">
        <w:rPr>
          <w:rFonts w:ascii="Times New Roman" w:hAnsi="Times New Roman" w:cs="Times New Roman"/>
          <w:lang w:val="ru-RU"/>
        </w:rPr>
        <w:t>Для визначення видів конфлікту інтересів, що виникають при наданні інвестиційних послуг, існування яких можуть зашкодити інтересам Клієнта, Інвестиційна фірма повинна враховувати, чи може Інвестиційна фірма, відповідна особа або особа, яка має прямий чи опосередкований контроль над Інвестиційною фірмою, потрапити в будь-яку з таких ситуацій: </w:t>
      </w:r>
    </w:p>
    <w:p w14:paraId="6FD3711D" w14:textId="77777777" w:rsidR="00A16A5A" w:rsidRPr="004F09D8" w:rsidRDefault="00A16A5A" w:rsidP="007F51DB">
      <w:pPr>
        <w:pStyle w:val="ac"/>
        <w:numPr>
          <w:ilvl w:val="0"/>
          <w:numId w:val="14"/>
        </w:numPr>
        <w:ind w:left="0" w:firstLine="284"/>
        <w:rPr>
          <w:rFonts w:ascii="Times New Roman" w:hAnsi="Times New Roman" w:cs="Times New Roman"/>
          <w:lang w:val="ru-RU"/>
        </w:rPr>
      </w:pPr>
      <w:r w:rsidRPr="004F09D8">
        <w:rPr>
          <w:rFonts w:ascii="Times New Roman" w:hAnsi="Times New Roman" w:cs="Times New Roman"/>
          <w:lang w:val="ru-RU"/>
        </w:rPr>
        <w:t>Інвестиційна фірма або зазначена особа зможуть отримати фінансову вигоду або уникнути фінансових збитків за рахунок Клієнта; </w:t>
      </w:r>
    </w:p>
    <w:p w14:paraId="1DA767D6" w14:textId="77777777" w:rsidR="00A16A5A" w:rsidRPr="004F09D8" w:rsidRDefault="00A16A5A" w:rsidP="007F51DB">
      <w:pPr>
        <w:pStyle w:val="ac"/>
        <w:numPr>
          <w:ilvl w:val="0"/>
          <w:numId w:val="14"/>
        </w:numPr>
        <w:ind w:left="0" w:firstLine="284"/>
        <w:rPr>
          <w:rFonts w:ascii="Times New Roman" w:hAnsi="Times New Roman" w:cs="Times New Roman"/>
          <w:lang w:val="ru-RU"/>
        </w:rPr>
      </w:pPr>
      <w:r w:rsidRPr="004F09D8">
        <w:rPr>
          <w:rFonts w:ascii="Times New Roman" w:hAnsi="Times New Roman" w:cs="Times New Roman"/>
          <w:lang w:val="ru-RU"/>
        </w:rPr>
        <w:t>Інвестиційна фірма або зазначена особа має інтерес у результаті надання послуг Клієнту або у результаті операції, здійсненої від імені Клієнта, який відрізняється від інтересу Клієнта в результаті такої операції;</w:t>
      </w:r>
    </w:p>
    <w:p w14:paraId="3A4751C9" w14:textId="77777777" w:rsidR="00A16A5A" w:rsidRPr="004F09D8" w:rsidRDefault="00A16A5A" w:rsidP="007F51DB">
      <w:pPr>
        <w:pStyle w:val="ac"/>
        <w:numPr>
          <w:ilvl w:val="0"/>
          <w:numId w:val="14"/>
        </w:numPr>
        <w:ind w:left="0" w:firstLine="284"/>
        <w:rPr>
          <w:rFonts w:ascii="Times New Roman" w:hAnsi="Times New Roman" w:cs="Times New Roman"/>
          <w:lang w:val="ru-RU"/>
        </w:rPr>
      </w:pPr>
      <w:r w:rsidRPr="004F09D8">
        <w:rPr>
          <w:rFonts w:ascii="Times New Roman" w:hAnsi="Times New Roman" w:cs="Times New Roman"/>
          <w:lang w:val="ru-RU"/>
        </w:rPr>
        <w:t>Інвестиційна фірма або зазначена особа мають фінансовий чи інший стимул надати перевагу інтересам іншого Клієнта або групи Клієнтів над інтересами Клієнта;</w:t>
      </w:r>
    </w:p>
    <w:p w14:paraId="5D196C13" w14:textId="77777777" w:rsidR="00A16A5A" w:rsidRPr="004F09D8" w:rsidRDefault="00A16A5A" w:rsidP="007F51DB">
      <w:pPr>
        <w:pStyle w:val="ac"/>
        <w:numPr>
          <w:ilvl w:val="0"/>
          <w:numId w:val="14"/>
        </w:numPr>
        <w:ind w:left="0" w:firstLine="284"/>
        <w:rPr>
          <w:rFonts w:ascii="Times New Roman" w:hAnsi="Times New Roman" w:cs="Times New Roman"/>
          <w:lang w:val="ru-RU"/>
        </w:rPr>
      </w:pPr>
      <w:r w:rsidRPr="004F09D8">
        <w:rPr>
          <w:rFonts w:ascii="Times New Roman" w:hAnsi="Times New Roman" w:cs="Times New Roman"/>
          <w:lang w:val="ru-RU"/>
        </w:rPr>
        <w:t>Інвестиційна фірма або зазначена особа отримує або отримає від особи, яка не є Клієнтом, стимул у зв’язку з послугою, наданою Клієнту, у вигляді грошової або негрошової вигоди або послуг.</w:t>
      </w:r>
    </w:p>
    <w:p w14:paraId="33540FDC" w14:textId="3FC95D0D" w:rsidR="00A16A5A" w:rsidRPr="004F09D8" w:rsidRDefault="004F09D8" w:rsidP="007F51DB">
      <w:pPr>
        <w:pStyle w:val="a7"/>
        <w:numPr>
          <w:ilvl w:val="1"/>
          <w:numId w:val="13"/>
        </w:numPr>
        <w:spacing w:line="240" w:lineRule="auto"/>
        <w:ind w:left="0" w:firstLine="0"/>
        <w:rPr>
          <w:rFonts w:ascii="Times New Roman" w:hAnsi="Times New Roman" w:cs="Times New Roman"/>
          <w:lang w:val="ru-RU"/>
        </w:rPr>
      </w:pPr>
      <w:r>
        <w:rPr>
          <w:rFonts w:ascii="Times New Roman" w:hAnsi="Times New Roman" w:cs="Times New Roman"/>
          <w:lang w:val="ru-RU"/>
        </w:rPr>
        <w:t xml:space="preserve"> </w:t>
      </w:r>
      <w:r w:rsidR="00A16A5A" w:rsidRPr="004F09D8">
        <w:rPr>
          <w:rFonts w:ascii="Times New Roman" w:hAnsi="Times New Roman" w:cs="Times New Roman"/>
          <w:lang w:val="ru-RU"/>
        </w:rPr>
        <w:t>Інвестиційна фірма вживає всіх необхідних заходів для виявлення та запобігання чи усунення конфліктів інтересів між особами, зокрема його керівниками, працівниками чи будь-якою особою, прямо чи опосередковано пов'язану з нею відносинами контролю, та їхніми Клієнтами, або між двома Клієнтами, що виникають у процесі надання інвестиційних послуг, зокрема конфліктів, спричинених отриманням заохочень від третіх осіб або системою оплати праці Інвестиційної фірми чи іншими способами стимулювання Інвестиційної фірми.</w:t>
      </w:r>
    </w:p>
    <w:p w14:paraId="3AF14789" w14:textId="49053A06" w:rsidR="00A16A5A" w:rsidRPr="004F09D8" w:rsidRDefault="00A16A5A" w:rsidP="007F51DB">
      <w:pPr>
        <w:pStyle w:val="a7"/>
        <w:numPr>
          <w:ilvl w:val="1"/>
          <w:numId w:val="13"/>
        </w:numPr>
        <w:spacing w:line="240" w:lineRule="auto"/>
        <w:ind w:left="0" w:firstLine="0"/>
        <w:rPr>
          <w:rFonts w:ascii="Times New Roman" w:hAnsi="Times New Roman" w:cs="Times New Roman"/>
          <w:lang w:val="ru-RU"/>
        </w:rPr>
      </w:pPr>
      <w:r w:rsidRPr="004F09D8">
        <w:rPr>
          <w:rFonts w:ascii="Times New Roman" w:hAnsi="Times New Roman" w:cs="Times New Roman"/>
          <w:lang w:val="ru-RU"/>
        </w:rPr>
        <w:t xml:space="preserve">Інвестиційна фірма забезпечує, щоб відповідні особи, які виконують різні професійні обов’язки, що пов’язані або можуть бути пов’язані з конфліктами інтересів, внаслідок яких може бути завдано шкоди </w:t>
      </w:r>
      <w:r w:rsidRPr="004F09D8">
        <w:rPr>
          <w:rFonts w:ascii="Times New Roman" w:hAnsi="Times New Roman" w:cs="Times New Roman"/>
          <w:lang w:val="ru-RU"/>
        </w:rPr>
        <w:lastRenderedPageBreak/>
        <w:t>інтересам одного або кількох Клієнтів, були незалежними при дотриманні процедур та вжиття заходів для запобігання та врегулювання таких конфліктів.</w:t>
      </w:r>
    </w:p>
    <w:p w14:paraId="555219BA" w14:textId="19A25318" w:rsidR="00A16A5A" w:rsidRPr="004F09D8" w:rsidRDefault="00A16A5A" w:rsidP="007F51DB">
      <w:pPr>
        <w:pStyle w:val="a7"/>
        <w:numPr>
          <w:ilvl w:val="1"/>
          <w:numId w:val="13"/>
        </w:numPr>
        <w:spacing w:line="240" w:lineRule="auto"/>
        <w:ind w:left="0" w:firstLine="0"/>
        <w:rPr>
          <w:rFonts w:ascii="Times New Roman" w:hAnsi="Times New Roman" w:cs="Times New Roman"/>
          <w:lang w:val="ru-RU"/>
        </w:rPr>
      </w:pPr>
      <w:r w:rsidRPr="004F09D8">
        <w:rPr>
          <w:rFonts w:ascii="Times New Roman" w:hAnsi="Times New Roman" w:cs="Times New Roman"/>
          <w:lang w:val="ru-RU"/>
        </w:rPr>
        <w:t>Інвестиційна фірма розкриває Клієнту загальний характер та/або джерела конфліктів інтересів і повідомляє кроки, вжиті для зменшення цих ризиків, перш ніж здійснювати операції за замовленням Клієнта, якщо організаційні або адміністративні механізми, запроваджені Інвестиційною фірмою відповідно для запобігання негативного впливу конфліктів інтересів на інтереси його Клієнта, не достатні для того, щоб забезпечити, з достатньою впевненістю, попередження ризиків завдання шкоди інтересам Клієнта.</w:t>
      </w:r>
    </w:p>
    <w:p w14:paraId="49B1CEEF" w14:textId="231E9C77" w:rsidR="00A16A5A" w:rsidRPr="004F09D8" w:rsidRDefault="00A16A5A" w:rsidP="007F51DB">
      <w:pPr>
        <w:pStyle w:val="a7"/>
        <w:numPr>
          <w:ilvl w:val="1"/>
          <w:numId w:val="13"/>
        </w:numPr>
        <w:spacing w:line="240" w:lineRule="auto"/>
        <w:ind w:left="0" w:firstLine="0"/>
        <w:rPr>
          <w:rFonts w:ascii="Times New Roman" w:hAnsi="Times New Roman" w:cs="Times New Roman"/>
          <w:lang w:val="ru-RU"/>
        </w:rPr>
      </w:pPr>
      <w:r w:rsidRPr="004F09D8">
        <w:rPr>
          <w:rFonts w:ascii="Times New Roman" w:hAnsi="Times New Roman" w:cs="Times New Roman"/>
          <w:lang w:val="ru-RU"/>
        </w:rPr>
        <w:t>Інформація, що розкриває загальний характер та/або джерела конфліктів інтересів, подається Клієнту загальним описом, або на окрему вимогу Клієнта - на надійному носії (паперовому носії) та повинна детально пояснити загальний характер і джерела конфлікту інтересів, а також ризики для Клієнта, які виникають у результаті конфлікту інтересів та кроки, зроблені для пом’якшення цих ризиків, щоб Клієнт зміг прийняти поінформоване рішення стосовно інвестиційної послуги, в рамках якої виникають конфлікти інтересів. </w:t>
      </w:r>
    </w:p>
    <w:p w14:paraId="455C82E9" w14:textId="4C31356F" w:rsidR="00A16A5A" w:rsidRPr="004F09D8" w:rsidRDefault="00A16A5A" w:rsidP="007F51DB">
      <w:pPr>
        <w:pStyle w:val="a7"/>
        <w:numPr>
          <w:ilvl w:val="1"/>
          <w:numId w:val="13"/>
        </w:numPr>
        <w:spacing w:line="240" w:lineRule="auto"/>
        <w:ind w:left="0" w:firstLine="0"/>
        <w:rPr>
          <w:rFonts w:ascii="Times New Roman" w:hAnsi="Times New Roman" w:cs="Times New Roman"/>
          <w:lang w:val="ru-RU"/>
        </w:rPr>
      </w:pPr>
      <w:r w:rsidRPr="004F09D8">
        <w:rPr>
          <w:rFonts w:ascii="Times New Roman" w:hAnsi="Times New Roman" w:cs="Times New Roman"/>
          <w:lang w:val="ru-RU"/>
        </w:rPr>
        <w:t>Інвестиційна фірма забезпечує, щоб розкриття вищезазначеної інформації про конфлікт інтересів Клієнтам було крайньою мірою, яка застосовується лише якщо ефективні організаційні та адміністративні механізми, встановлені Інвестиційною фірмою з метою уникнення конфліктів інтересів, недостатні для того, щоб з достатньою впевненістю забезпечити запобігання ризикам завдання шкоди інтересам Клієнта.</w:t>
      </w:r>
    </w:p>
    <w:p w14:paraId="0917078E" w14:textId="0FBF1A35" w:rsidR="00A16A5A" w:rsidRPr="004F09D8" w:rsidRDefault="004F09D8" w:rsidP="007F51DB">
      <w:pPr>
        <w:pStyle w:val="a7"/>
        <w:numPr>
          <w:ilvl w:val="1"/>
          <w:numId w:val="13"/>
        </w:numPr>
        <w:spacing w:line="240" w:lineRule="auto"/>
        <w:ind w:left="0" w:firstLine="0"/>
        <w:rPr>
          <w:rFonts w:ascii="Times New Roman" w:hAnsi="Times New Roman" w:cs="Times New Roman"/>
          <w:lang w:val="ru-RU"/>
        </w:rPr>
      </w:pPr>
      <w:r>
        <w:rPr>
          <w:rFonts w:ascii="Times New Roman" w:hAnsi="Times New Roman" w:cs="Times New Roman"/>
          <w:lang w:val="ru-RU"/>
        </w:rPr>
        <w:t xml:space="preserve"> </w:t>
      </w:r>
      <w:r w:rsidR="00A16A5A" w:rsidRPr="004F09D8">
        <w:rPr>
          <w:rFonts w:ascii="Times New Roman" w:hAnsi="Times New Roman" w:cs="Times New Roman"/>
          <w:lang w:val="ru-RU"/>
        </w:rPr>
        <w:t>Інвестиційна фірма зберігає та регулярно оновлює інформацію про види інвестиційних послуг або діяльності, що здійснюється Інвестиційною фірмою, в яких мав місце конфлікт інтересів, що завдав шкоди інтересам одного або декількох Клієнтів, або у випадку надання послуг чи провадження діяльності, що тривають, в яких може виникнути такий конфлікт інтересів.</w:t>
      </w:r>
    </w:p>
    <w:p w14:paraId="5C8FF501" w14:textId="77777777" w:rsidR="00A16A5A" w:rsidRPr="00A16A5A" w:rsidRDefault="00A16A5A" w:rsidP="007771E3">
      <w:pPr>
        <w:spacing w:line="240" w:lineRule="auto"/>
        <w:jc w:val="center"/>
        <w:rPr>
          <w:rFonts w:ascii="Times New Roman" w:hAnsi="Times New Roman" w:cs="Times New Roman"/>
          <w:lang w:val="ru-RU"/>
        </w:rPr>
      </w:pPr>
      <w:r w:rsidRPr="00A16A5A">
        <w:rPr>
          <w:rFonts w:ascii="Times New Roman" w:hAnsi="Times New Roman" w:cs="Times New Roman"/>
          <w:b/>
          <w:bCs/>
          <w:lang w:val="ru-RU"/>
        </w:rPr>
        <w:t>8. ПОЛІТИКА НАЙКРАЩОГО ВИКОНАННЯ ЗАМОВЛЕННЯ</w:t>
      </w:r>
    </w:p>
    <w:p w14:paraId="19B6FC8F" w14:textId="7C3F5A2A" w:rsidR="00A16A5A" w:rsidRPr="007771E3" w:rsidRDefault="00A16A5A" w:rsidP="007F51DB">
      <w:pPr>
        <w:pStyle w:val="a7"/>
        <w:numPr>
          <w:ilvl w:val="1"/>
          <w:numId w:val="15"/>
        </w:numPr>
        <w:spacing w:line="240" w:lineRule="auto"/>
        <w:ind w:left="0" w:firstLine="0"/>
        <w:rPr>
          <w:rFonts w:ascii="Times New Roman" w:hAnsi="Times New Roman" w:cs="Times New Roman"/>
          <w:lang w:val="ru-RU"/>
        </w:rPr>
      </w:pPr>
      <w:r w:rsidRPr="007771E3">
        <w:rPr>
          <w:rFonts w:ascii="Times New Roman" w:hAnsi="Times New Roman" w:cs="Times New Roman"/>
          <w:lang w:val="ru-RU"/>
        </w:rPr>
        <w:t>Інвестиційна фірма надаючи послуги Клієнтам, зобов’язується неухильно дотримуватися положень чинного законодавства для досягнення найвищого рівня захисту інтересів Клієнта. </w:t>
      </w:r>
    </w:p>
    <w:p w14:paraId="1C03C195" w14:textId="409C88BB" w:rsidR="00A16A5A" w:rsidRPr="007771E3" w:rsidRDefault="00A16A5A" w:rsidP="007F51DB">
      <w:pPr>
        <w:pStyle w:val="a7"/>
        <w:numPr>
          <w:ilvl w:val="1"/>
          <w:numId w:val="15"/>
        </w:numPr>
        <w:spacing w:line="240" w:lineRule="auto"/>
        <w:ind w:left="0" w:firstLine="0"/>
        <w:rPr>
          <w:rFonts w:ascii="Times New Roman" w:hAnsi="Times New Roman" w:cs="Times New Roman"/>
          <w:lang w:val="ru-RU"/>
        </w:rPr>
      </w:pPr>
      <w:r w:rsidRPr="007771E3">
        <w:rPr>
          <w:rFonts w:ascii="Times New Roman" w:hAnsi="Times New Roman" w:cs="Times New Roman"/>
          <w:lang w:val="ru-RU"/>
        </w:rPr>
        <w:t>Відповідно до параметрів, зазначених у Замовлені Клієнта, Інвестиційна фірма оцінює загальний очікуваний результат виконання замовлення відносно певних альтернатив та обирає варіант із найкращим потенційним результатом.</w:t>
      </w:r>
    </w:p>
    <w:p w14:paraId="57263D7B" w14:textId="3CF1B7AF" w:rsidR="00A16A5A" w:rsidRPr="007771E3" w:rsidRDefault="007771E3" w:rsidP="007F51DB">
      <w:pPr>
        <w:pStyle w:val="a7"/>
        <w:numPr>
          <w:ilvl w:val="1"/>
          <w:numId w:val="15"/>
        </w:numPr>
        <w:spacing w:line="240" w:lineRule="auto"/>
        <w:ind w:left="0" w:firstLine="0"/>
        <w:rPr>
          <w:rFonts w:ascii="Times New Roman" w:hAnsi="Times New Roman" w:cs="Times New Roman"/>
          <w:lang w:val="ru-RU"/>
        </w:rPr>
      </w:pPr>
      <w:r>
        <w:rPr>
          <w:rFonts w:ascii="Times New Roman" w:hAnsi="Times New Roman" w:cs="Times New Roman"/>
          <w:lang w:val="ru-RU"/>
        </w:rPr>
        <w:t xml:space="preserve"> </w:t>
      </w:r>
      <w:r w:rsidR="00A16A5A" w:rsidRPr="007771E3">
        <w:rPr>
          <w:rFonts w:ascii="Times New Roman" w:hAnsi="Times New Roman" w:cs="Times New Roman"/>
          <w:lang w:val="ru-RU"/>
        </w:rPr>
        <w:t>Зважаючи на пріоритетність ціни як фактору вибору альтернативи, у процесі виконання Замовлення Інвестиційна фірма визначає найкращий можливий результат з урахуванням всіх витрат, що включають ціну фінансового інструмента, у тому числі комісію торгівельного майданчика, комісії за клірингово-розрахункове обслуговування та всі інші комісійні, виплачені третім особам, що були залучені до виконання Замовлення.</w:t>
      </w:r>
    </w:p>
    <w:p w14:paraId="7111750B" w14:textId="4085D3B7" w:rsidR="00A16A5A" w:rsidRPr="007771E3" w:rsidRDefault="00A16A5A" w:rsidP="007F51DB">
      <w:pPr>
        <w:pStyle w:val="a7"/>
        <w:numPr>
          <w:ilvl w:val="1"/>
          <w:numId w:val="15"/>
        </w:numPr>
        <w:spacing w:line="240" w:lineRule="auto"/>
        <w:ind w:left="0" w:firstLine="0"/>
        <w:rPr>
          <w:rFonts w:ascii="Times New Roman" w:hAnsi="Times New Roman" w:cs="Times New Roman"/>
          <w:lang w:val="ru-RU"/>
        </w:rPr>
      </w:pPr>
      <w:r w:rsidRPr="007771E3">
        <w:rPr>
          <w:rFonts w:ascii="Times New Roman" w:hAnsi="Times New Roman" w:cs="Times New Roman"/>
          <w:lang w:val="ru-RU"/>
        </w:rPr>
        <w:t>При виконанні Замовлення поза організованим ринком Інвестиційна фірма перевіряє справедливість запропонованої Клієнту ціни. Для даної перевірки здійснюється збір ринкових даних, які використовуються при оцінці ціни окремого фінансового інструменту, та порівняння з подібними або порівнюваними фінансовими інструментами у разі наявності таких інструментів.</w:t>
      </w:r>
    </w:p>
    <w:p w14:paraId="45C40D46" w14:textId="1991A845" w:rsidR="00A16A5A" w:rsidRPr="007771E3" w:rsidRDefault="00A16A5A" w:rsidP="007F51DB">
      <w:pPr>
        <w:pStyle w:val="a7"/>
        <w:numPr>
          <w:ilvl w:val="1"/>
          <w:numId w:val="15"/>
        </w:numPr>
        <w:spacing w:line="240" w:lineRule="auto"/>
        <w:ind w:left="0" w:firstLine="0"/>
        <w:rPr>
          <w:rFonts w:ascii="Times New Roman" w:hAnsi="Times New Roman" w:cs="Times New Roman"/>
          <w:lang w:val="ru-RU"/>
        </w:rPr>
      </w:pPr>
      <w:r w:rsidRPr="007771E3">
        <w:rPr>
          <w:rFonts w:ascii="Times New Roman" w:hAnsi="Times New Roman" w:cs="Times New Roman"/>
          <w:lang w:val="ru-RU"/>
        </w:rPr>
        <w:t>Інвестиційна фірма зобов’язується повідомити Клієнта до моменту виконання Замовлення про можливість виконання Замовлень поза організованим ринком, у спосіб, визначений Генеральним договором, у випадках, коли порядок виконання Замовлень передбачає можливість виконання Замовлень Клієнтів поза організованим ринком. У свою чергу, Клієнт має надати дозвіл на відповідне виконання Замовлення шляхом внесення змін до Замовлення.</w:t>
      </w:r>
    </w:p>
    <w:p w14:paraId="0D3E0E06" w14:textId="73D2BEDB" w:rsidR="00A16A5A" w:rsidRPr="007771E3" w:rsidRDefault="00A16A5A" w:rsidP="007F51DB">
      <w:pPr>
        <w:pStyle w:val="a7"/>
        <w:numPr>
          <w:ilvl w:val="1"/>
          <w:numId w:val="15"/>
        </w:numPr>
        <w:spacing w:line="240" w:lineRule="auto"/>
        <w:ind w:left="0" w:firstLine="0"/>
        <w:rPr>
          <w:rFonts w:ascii="Times New Roman" w:hAnsi="Times New Roman" w:cs="Times New Roman"/>
          <w:lang w:val="ru-RU"/>
        </w:rPr>
      </w:pPr>
      <w:r w:rsidRPr="007771E3">
        <w:rPr>
          <w:rFonts w:ascii="Times New Roman" w:hAnsi="Times New Roman" w:cs="Times New Roman"/>
          <w:lang w:val="ru-RU"/>
        </w:rPr>
        <w:t>У випадку отримання конкретних інструкцій на виконання Замовлення у певний спосіб Інвестиційна фірма зобов’язується повідомити Клієнта при отриманні Замовлення із зазначенням таких конкретних умов щодо виконання, якщо таке Замовлення може перешкодити Інвестиційній фірмі виконати договір та/або Замовлення на якомога кращих умовах для Клієнта.</w:t>
      </w:r>
    </w:p>
    <w:p w14:paraId="20ACBC9F" w14:textId="4F0E1C67" w:rsidR="00A16A5A" w:rsidRPr="007771E3" w:rsidRDefault="00A16A5A" w:rsidP="007F51DB">
      <w:pPr>
        <w:pStyle w:val="a7"/>
        <w:numPr>
          <w:ilvl w:val="1"/>
          <w:numId w:val="15"/>
        </w:numPr>
        <w:spacing w:line="240" w:lineRule="auto"/>
        <w:ind w:left="0" w:firstLine="0"/>
        <w:rPr>
          <w:rFonts w:ascii="Times New Roman" w:hAnsi="Times New Roman" w:cs="Times New Roman"/>
          <w:lang w:val="ru-RU"/>
        </w:rPr>
      </w:pPr>
      <w:r w:rsidRPr="007771E3">
        <w:rPr>
          <w:rFonts w:ascii="Times New Roman" w:hAnsi="Times New Roman" w:cs="Times New Roman"/>
          <w:lang w:val="ru-RU"/>
        </w:rPr>
        <w:t>У випадку виконання Замовлення на конкретних умовах Клієнт зобов’язується повідомити Інвестиційну фірму про підтвердження або відмову від виконання Замовлення, щодо виконання якого Інвестиційна фірма вбачає  ймовірність порушення вимог законодавства, у тому числі щодо маніпулювання цінами на фінансовому ринку.</w:t>
      </w:r>
    </w:p>
    <w:p w14:paraId="57070EDD" w14:textId="692E2CB2" w:rsidR="00A16A5A" w:rsidRPr="00A16A5A" w:rsidRDefault="00A16A5A" w:rsidP="007771E3">
      <w:pPr>
        <w:spacing w:line="240" w:lineRule="auto"/>
        <w:jc w:val="center"/>
        <w:rPr>
          <w:rFonts w:ascii="Times New Roman" w:hAnsi="Times New Roman" w:cs="Times New Roman"/>
          <w:b/>
          <w:bCs/>
          <w:lang w:val="ru-RU"/>
        </w:rPr>
      </w:pPr>
      <w:r w:rsidRPr="00A16A5A">
        <w:rPr>
          <w:rFonts w:ascii="Times New Roman" w:hAnsi="Times New Roman" w:cs="Times New Roman"/>
          <w:lang w:val="ru-RU"/>
        </w:rPr>
        <w:br/>
      </w:r>
      <w:r w:rsidR="007771E3">
        <w:rPr>
          <w:rFonts w:ascii="Times New Roman" w:hAnsi="Times New Roman" w:cs="Times New Roman"/>
          <w:b/>
          <w:bCs/>
          <w:lang w:val="ru-RU"/>
        </w:rPr>
        <w:t xml:space="preserve">9.   </w:t>
      </w:r>
      <w:r w:rsidRPr="00A16A5A">
        <w:rPr>
          <w:rFonts w:ascii="Times New Roman" w:hAnsi="Times New Roman" w:cs="Times New Roman"/>
          <w:b/>
          <w:bCs/>
          <w:lang w:val="ru-RU"/>
        </w:rPr>
        <w:t>ПОРЯДОК ВЗАЄМОДІЇ ІНВЕСТИЦІЙНОЇ ФІРМИ З РІЗНИМИ КАТЕГОРІЯМИ КЛІЄНТІВ</w:t>
      </w:r>
    </w:p>
    <w:p w14:paraId="44D21CF6" w14:textId="04C6A325" w:rsidR="00A16A5A" w:rsidRPr="007771E3" w:rsidRDefault="00A16A5A" w:rsidP="007F51DB">
      <w:pPr>
        <w:pStyle w:val="a7"/>
        <w:numPr>
          <w:ilvl w:val="1"/>
          <w:numId w:val="16"/>
        </w:numPr>
        <w:spacing w:line="240" w:lineRule="auto"/>
        <w:ind w:left="0" w:firstLine="0"/>
        <w:rPr>
          <w:rFonts w:ascii="Times New Roman" w:hAnsi="Times New Roman" w:cs="Times New Roman"/>
          <w:lang w:val="ru-RU"/>
        </w:rPr>
      </w:pPr>
      <w:r w:rsidRPr="007771E3">
        <w:rPr>
          <w:rFonts w:ascii="Times New Roman" w:hAnsi="Times New Roman" w:cs="Times New Roman"/>
          <w:lang w:val="ru-RU"/>
        </w:rPr>
        <w:t>Інвестиційна фірма після оцінювання Клієнта відповідно до умов Генерального договору  та присвоєння Клієнту категорії Професійного клієнта (інвестора) може надавати йому всі без виключення інвестиційні послуги, які Інвестиційна фірма може надавати відповідно до одержаної ліцензії. </w:t>
      </w:r>
    </w:p>
    <w:p w14:paraId="4BADD9B1" w14:textId="0947E1A4" w:rsidR="00A16A5A" w:rsidRPr="007771E3" w:rsidRDefault="00A16A5A" w:rsidP="007F51DB">
      <w:pPr>
        <w:pStyle w:val="a7"/>
        <w:numPr>
          <w:ilvl w:val="1"/>
          <w:numId w:val="16"/>
        </w:numPr>
        <w:spacing w:line="240" w:lineRule="auto"/>
        <w:ind w:left="0" w:firstLine="0"/>
        <w:rPr>
          <w:rFonts w:ascii="Times New Roman" w:hAnsi="Times New Roman" w:cs="Times New Roman"/>
          <w:lang w:val="ru-RU"/>
        </w:rPr>
      </w:pPr>
      <w:r w:rsidRPr="007771E3">
        <w:rPr>
          <w:rFonts w:ascii="Times New Roman" w:hAnsi="Times New Roman" w:cs="Times New Roman"/>
          <w:lang w:val="ru-RU"/>
        </w:rPr>
        <w:t xml:space="preserve">Клієнт, що визнаний Інвестиційною фірмою Професійним клієнтом (інвестором) може надавати Інвестиційній фірмі Замовлення щодо всіх фінансових послуг, визначених Генеральним договором, та всіх </w:t>
      </w:r>
      <w:r w:rsidRPr="007771E3">
        <w:rPr>
          <w:rFonts w:ascii="Times New Roman" w:hAnsi="Times New Roman" w:cs="Times New Roman"/>
          <w:lang w:val="ru-RU"/>
        </w:rPr>
        <w:lastRenderedPageBreak/>
        <w:t>фінансових інструментів, щодо яких Інвестиційна фірма може надавати фінансові послуги, щодо яких Клієнта визнано Професійним клієнтом (інвестором). </w:t>
      </w:r>
    </w:p>
    <w:p w14:paraId="67852A59" w14:textId="62887294" w:rsidR="00A16A5A" w:rsidRPr="007771E3" w:rsidRDefault="00A16A5A" w:rsidP="007F51DB">
      <w:pPr>
        <w:pStyle w:val="a7"/>
        <w:numPr>
          <w:ilvl w:val="1"/>
          <w:numId w:val="16"/>
        </w:numPr>
        <w:spacing w:line="240" w:lineRule="auto"/>
        <w:ind w:left="0" w:firstLine="0"/>
        <w:rPr>
          <w:rFonts w:ascii="Times New Roman" w:hAnsi="Times New Roman" w:cs="Times New Roman"/>
          <w:lang w:val="ru-RU"/>
        </w:rPr>
      </w:pPr>
      <w:r w:rsidRPr="007771E3">
        <w:rPr>
          <w:rFonts w:ascii="Times New Roman" w:hAnsi="Times New Roman" w:cs="Times New Roman"/>
          <w:lang w:val="ru-RU"/>
        </w:rPr>
        <w:t>Інвестиційна фірма після оцінювання Клієнта відповідно до умов Генерального Договору та присвоєння Клієнту категорії Непрофесійного клієнта (інвестора), може надавати такому Клієнту інвестиційні послуги щодо купівлі продажу цінних паперів, щодо яких Інвестиційна фірма може надавати фінансові послуги згідно умов Генерального договору. </w:t>
      </w:r>
    </w:p>
    <w:p w14:paraId="47E749E2" w14:textId="530B43E6" w:rsidR="00A16A5A" w:rsidRPr="00A16A5A" w:rsidRDefault="00A16A5A" w:rsidP="007771E3">
      <w:pPr>
        <w:spacing w:line="240" w:lineRule="auto"/>
        <w:jc w:val="center"/>
        <w:rPr>
          <w:rFonts w:ascii="Times New Roman" w:hAnsi="Times New Roman" w:cs="Times New Roman"/>
          <w:b/>
          <w:bCs/>
          <w:lang w:val="ru-RU"/>
        </w:rPr>
      </w:pPr>
      <w:r w:rsidRPr="00A16A5A">
        <w:rPr>
          <w:rFonts w:ascii="Times New Roman" w:hAnsi="Times New Roman" w:cs="Times New Roman"/>
          <w:lang w:val="ru-RU"/>
        </w:rPr>
        <w:br/>
      </w:r>
      <w:r w:rsidR="007771E3">
        <w:rPr>
          <w:rFonts w:ascii="Times New Roman" w:hAnsi="Times New Roman" w:cs="Times New Roman"/>
          <w:b/>
          <w:bCs/>
          <w:lang w:val="ru-RU"/>
        </w:rPr>
        <w:t xml:space="preserve">10.  </w:t>
      </w:r>
      <w:r w:rsidRPr="00A16A5A">
        <w:rPr>
          <w:rFonts w:ascii="Times New Roman" w:hAnsi="Times New Roman" w:cs="Times New Roman"/>
          <w:b/>
          <w:bCs/>
          <w:lang w:val="ru-RU"/>
        </w:rPr>
        <w:t>УМОВИ КОНФІДЕЦІЙНОСТІ, ЗАХИСТ ІНФОРМАЦІЇ</w:t>
      </w:r>
    </w:p>
    <w:p w14:paraId="0F0A482F" w14:textId="7780A705" w:rsidR="00A16A5A" w:rsidRPr="007771E3" w:rsidRDefault="00A16A5A" w:rsidP="007F51DB">
      <w:pPr>
        <w:pStyle w:val="a7"/>
        <w:numPr>
          <w:ilvl w:val="1"/>
          <w:numId w:val="17"/>
        </w:numPr>
        <w:spacing w:line="240" w:lineRule="auto"/>
        <w:ind w:left="0" w:firstLine="0"/>
        <w:rPr>
          <w:rFonts w:ascii="Times New Roman" w:hAnsi="Times New Roman" w:cs="Times New Roman"/>
          <w:lang w:val="ru-RU"/>
        </w:rPr>
      </w:pPr>
      <w:r w:rsidRPr="007771E3">
        <w:rPr>
          <w:rFonts w:ascii="Times New Roman" w:hAnsi="Times New Roman" w:cs="Times New Roman"/>
          <w:lang w:val="ru-RU"/>
        </w:rPr>
        <w:t>Уся інформація про Сторони за цим Генеральним договором, зміст його додатків та договорів купівлі-продажу є конфіденційною і не підлягає розголошенню, окрім випадків прямо передбачених законами України (у тому числі щодо інформації, доступ до якої обмежений Клієнтом). Зобов’язання Сторін щодо збереження конфіденційності залишаються в силі після припинення дії цього Генерального договору.</w:t>
      </w:r>
    </w:p>
    <w:p w14:paraId="187FE7D4" w14:textId="6DC19A51" w:rsidR="00A16A5A" w:rsidRDefault="007771E3" w:rsidP="007F51DB">
      <w:pPr>
        <w:pStyle w:val="a7"/>
        <w:numPr>
          <w:ilvl w:val="1"/>
          <w:numId w:val="17"/>
        </w:numPr>
        <w:spacing w:line="240" w:lineRule="auto"/>
        <w:ind w:left="0" w:firstLine="0"/>
        <w:rPr>
          <w:rFonts w:ascii="Times New Roman" w:hAnsi="Times New Roman" w:cs="Times New Roman"/>
          <w:lang w:val="ru-RU"/>
        </w:rPr>
      </w:pPr>
      <w:r>
        <w:rPr>
          <w:rFonts w:ascii="Times New Roman" w:hAnsi="Times New Roman" w:cs="Times New Roman"/>
          <w:lang w:val="ru-RU"/>
        </w:rPr>
        <w:t xml:space="preserve"> </w:t>
      </w:r>
      <w:r w:rsidR="00A16A5A" w:rsidRPr="007771E3">
        <w:rPr>
          <w:rFonts w:ascii="Times New Roman" w:hAnsi="Times New Roman" w:cs="Times New Roman"/>
          <w:lang w:val="ru-RU"/>
        </w:rPr>
        <w:t>Сторони підтримують зв'язок між собою за реквізитами зазначеними в Генеральному договорі (індивідуальна частина).</w:t>
      </w:r>
    </w:p>
    <w:p w14:paraId="4110E9D0" w14:textId="77777777" w:rsidR="007771E3" w:rsidRPr="007771E3" w:rsidRDefault="007771E3" w:rsidP="007771E3">
      <w:pPr>
        <w:pStyle w:val="a7"/>
        <w:spacing w:line="240" w:lineRule="auto"/>
        <w:ind w:left="444"/>
        <w:rPr>
          <w:rFonts w:ascii="Times New Roman" w:hAnsi="Times New Roman" w:cs="Times New Roman"/>
          <w:lang w:val="ru-RU"/>
        </w:rPr>
      </w:pPr>
    </w:p>
    <w:p w14:paraId="7DED5EB1" w14:textId="2FE4C11E" w:rsidR="00A16A5A" w:rsidRPr="007771E3" w:rsidRDefault="00A16A5A" w:rsidP="007F51DB">
      <w:pPr>
        <w:pStyle w:val="a7"/>
        <w:numPr>
          <w:ilvl w:val="0"/>
          <w:numId w:val="17"/>
        </w:numPr>
        <w:spacing w:line="240" w:lineRule="auto"/>
        <w:jc w:val="center"/>
        <w:rPr>
          <w:rFonts w:ascii="Times New Roman" w:hAnsi="Times New Roman" w:cs="Times New Roman"/>
          <w:b/>
          <w:bCs/>
          <w:lang w:val="ru-RU"/>
        </w:rPr>
      </w:pPr>
      <w:r w:rsidRPr="007771E3">
        <w:rPr>
          <w:rFonts w:ascii="Times New Roman" w:hAnsi="Times New Roman" w:cs="Times New Roman"/>
          <w:b/>
          <w:bCs/>
          <w:lang w:val="ru-RU"/>
        </w:rPr>
        <w:t>ДЕКЛАРАЦІЯ ПРО ФАКТОРИ РИЗИКІВ</w:t>
      </w:r>
    </w:p>
    <w:p w14:paraId="1656B2BA" w14:textId="77777777" w:rsidR="00A16A5A" w:rsidRPr="00A16A5A" w:rsidRDefault="00A16A5A" w:rsidP="007F51DB">
      <w:pPr>
        <w:numPr>
          <w:ilvl w:val="1"/>
          <w:numId w:val="17"/>
        </w:numPr>
        <w:spacing w:line="240" w:lineRule="auto"/>
        <w:ind w:left="0" w:firstLine="0"/>
        <w:rPr>
          <w:rFonts w:ascii="Times New Roman" w:hAnsi="Times New Roman" w:cs="Times New Roman"/>
          <w:lang w:val="ru-RU"/>
        </w:rPr>
      </w:pPr>
      <w:r w:rsidRPr="00A16A5A">
        <w:rPr>
          <w:rFonts w:ascii="Times New Roman" w:hAnsi="Times New Roman" w:cs="Times New Roman"/>
          <w:lang w:val="ru-RU"/>
        </w:rPr>
        <w:t> Цією Декларацією про фактори ризиків (надалі - Декларація) Інвестиційна фірма інформує Клієнта про фактори ризиків, що пов’язані із здійсненням операцій на фінансовому ринку України. Під факторами ризиків у даному випадку розуміються обставини, які можуть призвести до часткової або повної втрати фінансових інструментів Клієнта, у тому числі внаслідок зниження вартості фінансових інструментів. </w:t>
      </w:r>
    </w:p>
    <w:p w14:paraId="171337F4" w14:textId="77777777" w:rsidR="00A16A5A" w:rsidRPr="00A16A5A" w:rsidRDefault="00A16A5A" w:rsidP="007F51DB">
      <w:pPr>
        <w:numPr>
          <w:ilvl w:val="1"/>
          <w:numId w:val="17"/>
        </w:numPr>
        <w:spacing w:line="240" w:lineRule="auto"/>
        <w:ind w:left="0" w:firstLine="0"/>
        <w:rPr>
          <w:rFonts w:ascii="Times New Roman" w:hAnsi="Times New Roman" w:cs="Times New Roman"/>
          <w:lang w:val="ru-RU"/>
        </w:rPr>
      </w:pPr>
      <w:r w:rsidRPr="00A16A5A">
        <w:rPr>
          <w:rFonts w:ascii="Times New Roman" w:hAnsi="Times New Roman" w:cs="Times New Roman"/>
          <w:lang w:val="ru-RU"/>
        </w:rPr>
        <w:t>До фінансових ризиків, що пов'язані зі здійсненням операцій на фінансовому ринку України, зокрема, відносяться: </w:t>
      </w:r>
    </w:p>
    <w:p w14:paraId="57564FD3"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 ринковий ризик - це наявний або потенційний ризик для надходжень та капіталу, який виникає через несприятливі коливання вартості фінансових інструментів. Цей ризик випливає з маркет-мейкерства, дилінгу, прийняття позицій з боргових та пайових цінних паперів, валют, товарів та похідних фінансових інструментів (деривативів). До ринкових ризиків відносяться: </w:t>
      </w:r>
    </w:p>
    <w:p w14:paraId="254136BC"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1) ціновий ризик – наявний або потенційний ризик повної або часткової втрати фінансових інструментів через зміну вартості фінансового інструмента внаслідок коливання ринкових цін; </w:t>
      </w:r>
    </w:p>
    <w:p w14:paraId="51DD7F0C"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2) валютний ризик – наявний або потенційний ризик повної або часткової втрати фінансових інструментів через зміну вартості фінансового інструмента внаслідок зміни курсу однієї іноземної валюти стосовно іншої, у тому числі національної валюти, а також цін на банківські метали; </w:t>
      </w:r>
    </w:p>
    <w:p w14:paraId="395FC467"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3) процентний ризик (ризик зміни процентної ставки) - наявний або потенційний ризик повної або часткової втрати фінансових інструментів через зміну вартості фінансового інструмента внаслідок несприятливих змін ринкових відсоткових ставок; </w:t>
      </w:r>
    </w:p>
    <w:p w14:paraId="29FE837A"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 кредитний ризик – наявний або потенційний ризик негативної зміни вартості фінансових інструментів Клієнта внаслідок неспроможності емітентів (контрагентів) виконувати свої зобов’язання, зокрема, з виплати відсотків та основної суми боргу у відповідності до строків та умов фінансової угоди (проспекту емісії/умов випуску, у тому числі параметрів боргового інструменту зазначених на ньому). Аналізуючи кредитний ризик емітента (контрагента), необхідно оцінити імовірність дефолту емітента (контрагента); суму, що піддається ризику; величину можливих втрат при настанні несприятливої події. Кредитний ризик щодо державних цінних паперів також передбачає ризик держави, який виникає через особливості економіки, соціального ладу та політичного устрою держави позичальника;</w:t>
      </w:r>
    </w:p>
    <w:p w14:paraId="2406B3EB"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 ризик ліквідності – наявний або потенційний ризик негативної зміни вартості фінансових інструментів Клієнта через неможливість купівлі або продажу фінансових інструментів у визначеній кількості за середньоринковою ціною за короткий термін. До ризиків ліквідності відноситься ризик ринкової ліквідності – наявний або потенційний ризик повної або часткової втрати фінансових інструментів через неможливість купівлі або продажу фінансових інструментів у потрібній кількості за достатньо короткий період часу в силу погіршення ринкової кон'юнктури.</w:t>
      </w:r>
    </w:p>
    <w:p w14:paraId="3030F49F" w14:textId="6015C36F" w:rsidR="00A16A5A" w:rsidRPr="006D067E" w:rsidRDefault="006D067E" w:rsidP="007F51DB">
      <w:pPr>
        <w:pStyle w:val="a7"/>
        <w:numPr>
          <w:ilvl w:val="1"/>
          <w:numId w:val="17"/>
        </w:numPr>
        <w:spacing w:line="240" w:lineRule="auto"/>
        <w:rPr>
          <w:rFonts w:ascii="Times New Roman" w:hAnsi="Times New Roman" w:cs="Times New Roman"/>
          <w:lang w:val="ru-RU"/>
        </w:rPr>
      </w:pPr>
      <w:r>
        <w:rPr>
          <w:rFonts w:ascii="Times New Roman" w:hAnsi="Times New Roman" w:cs="Times New Roman"/>
          <w:lang w:val="ru-RU"/>
        </w:rPr>
        <w:t xml:space="preserve"> </w:t>
      </w:r>
      <w:r w:rsidR="00A16A5A" w:rsidRPr="006D067E">
        <w:rPr>
          <w:rFonts w:ascii="Times New Roman" w:hAnsi="Times New Roman" w:cs="Times New Roman"/>
          <w:lang w:val="ru-RU"/>
        </w:rPr>
        <w:t>До нефінансових ризиків, що пов'язані зі здійсненням операцій на фінансовому ринку України, зокрема, відносяться:</w:t>
      </w:r>
    </w:p>
    <w:p w14:paraId="61253EB8"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lastRenderedPageBreak/>
        <w:t>∙ юридичний ризик - наявний або потенційний ризик, який виникає через порушення або недотримання вимог законів, нормативно-правових актів, угод, прийнятої практики або етичних норм, а також через можливість двозначного їх тлумачення;</w:t>
      </w:r>
    </w:p>
    <w:p w14:paraId="6CE3F334"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 правовий ризик - наявний або потенційний ризик повної або часткової втрати фінансових інструментів внаслідок запровадження несприятливих для Клієнта законодавчих змін, у тому числі до податкового законодавства, або внаслідок відсутності регуляторних нормативно-правових актів щодо фінансового ринку або окремих його секторів;</w:t>
      </w:r>
    </w:p>
    <w:p w14:paraId="7FF61456" w14:textId="77777777" w:rsidR="00A16A5A" w:rsidRPr="00A16A5A" w:rsidRDefault="00A16A5A" w:rsidP="00675C04">
      <w:pPr>
        <w:spacing w:line="240" w:lineRule="auto"/>
        <w:rPr>
          <w:rFonts w:ascii="Times New Roman" w:hAnsi="Times New Roman" w:cs="Times New Roman"/>
          <w:lang w:val="ru-RU"/>
        </w:rPr>
      </w:pPr>
      <w:r w:rsidRPr="00A16A5A">
        <w:rPr>
          <w:rFonts w:ascii="Times New Roman" w:hAnsi="Times New Roman" w:cs="Times New Roman"/>
          <w:lang w:val="ru-RU"/>
        </w:rPr>
        <w:t>∙ операційно-технологічний ризик - наявний або потенційний ризик, що виникає через недоліки корпоративного управління, системи внутрішнього контролю або неадекватність інформаційних технологій і процесів оброблення інформації з точки зору керованості, універсальності, надійності, контрольованості і безперервності роботи.</w:t>
      </w:r>
    </w:p>
    <w:p w14:paraId="1E773097" w14:textId="77777777" w:rsidR="00A16A5A" w:rsidRPr="00A16A5A" w:rsidRDefault="00A16A5A" w:rsidP="006D067E">
      <w:pPr>
        <w:spacing w:line="240" w:lineRule="auto"/>
        <w:ind w:firstLine="720"/>
        <w:rPr>
          <w:rFonts w:ascii="Times New Roman" w:hAnsi="Times New Roman" w:cs="Times New Roman"/>
          <w:lang w:val="ru-RU"/>
        </w:rPr>
      </w:pPr>
      <w:r w:rsidRPr="00A16A5A">
        <w:rPr>
          <w:rFonts w:ascii="Times New Roman" w:hAnsi="Times New Roman" w:cs="Times New Roman"/>
          <w:lang w:val="ru-RU"/>
        </w:rPr>
        <w:t>Крім того, при здійсненні операцій на фінансовому ринку існують технічні ризики, що можуть бути пов’язані з виникненням проблем у роботі інформаційних, комунікаційних, електронних та інших систем, а також з порушенням рекомендацій з використання прав доступу до торгової платформи (логіну та паролю).</w:t>
      </w:r>
    </w:p>
    <w:p w14:paraId="5D8FC262" w14:textId="0B33DDE7" w:rsidR="00A16A5A" w:rsidRPr="006D067E" w:rsidRDefault="00A16A5A" w:rsidP="007F51DB">
      <w:pPr>
        <w:pStyle w:val="a7"/>
        <w:numPr>
          <w:ilvl w:val="1"/>
          <w:numId w:val="17"/>
        </w:numPr>
        <w:spacing w:line="240" w:lineRule="auto"/>
        <w:ind w:left="0" w:firstLine="0"/>
        <w:rPr>
          <w:rFonts w:ascii="Times New Roman" w:hAnsi="Times New Roman" w:cs="Times New Roman"/>
          <w:lang w:val="ru-RU"/>
        </w:rPr>
      </w:pPr>
      <w:r w:rsidRPr="006D067E">
        <w:rPr>
          <w:rFonts w:ascii="Times New Roman" w:hAnsi="Times New Roman" w:cs="Times New Roman"/>
          <w:lang w:val="ru-RU"/>
        </w:rPr>
        <w:t>Клієнт приймає на себе ризики фінансових втрат, що можуть виникнути внаслідок збоїв в апаратних засобах, програмному забезпеченні та внаслідок неякісного зв’язку зі сторони Клієнта та/або третіх осіб щодо яких Інвестиційна фірма не має можливості контролю (розрахункові банки, організовані ринки, зберігачі, депозитарій, тощо).</w:t>
      </w:r>
    </w:p>
    <w:p w14:paraId="6F2105E9" w14:textId="11DFD726" w:rsidR="00A16A5A" w:rsidRPr="006D067E" w:rsidRDefault="00A16A5A" w:rsidP="007F51DB">
      <w:pPr>
        <w:pStyle w:val="a7"/>
        <w:numPr>
          <w:ilvl w:val="1"/>
          <w:numId w:val="17"/>
        </w:numPr>
        <w:spacing w:line="240" w:lineRule="auto"/>
        <w:ind w:left="0" w:firstLine="0"/>
        <w:rPr>
          <w:rFonts w:ascii="Times New Roman" w:hAnsi="Times New Roman" w:cs="Times New Roman"/>
          <w:lang w:val="ru-RU"/>
        </w:rPr>
      </w:pPr>
      <w:r w:rsidRPr="006D067E">
        <w:rPr>
          <w:rFonts w:ascii="Times New Roman" w:hAnsi="Times New Roman" w:cs="Times New Roman"/>
          <w:lang w:val="ru-RU"/>
        </w:rPr>
        <w:t>Існують також ризики, що не пов’язані прямо з діями Інвестиційної фірми і Клієнта та конкретним фінансовим інструментом – системні ризики, які відображають здатність фінансового ринку як системи або окремих його складових (ринок цінних паперів, депозитарна система, система клірингу та розрахунків тощо) виконувати свої функції. Такі ризики не можуть бути диверсифіковані.</w:t>
      </w:r>
    </w:p>
    <w:p w14:paraId="60ECB374" w14:textId="5BF72658" w:rsidR="00A16A5A" w:rsidRPr="006D067E" w:rsidRDefault="00A16A5A" w:rsidP="007F51DB">
      <w:pPr>
        <w:pStyle w:val="a7"/>
        <w:numPr>
          <w:ilvl w:val="1"/>
          <w:numId w:val="17"/>
        </w:numPr>
        <w:spacing w:line="240" w:lineRule="auto"/>
        <w:ind w:left="0" w:firstLine="0"/>
        <w:rPr>
          <w:rFonts w:ascii="Times New Roman" w:hAnsi="Times New Roman" w:cs="Times New Roman"/>
          <w:lang w:val="ru-RU"/>
        </w:rPr>
      </w:pPr>
      <w:r w:rsidRPr="006D067E">
        <w:rPr>
          <w:rFonts w:ascii="Times New Roman" w:hAnsi="Times New Roman" w:cs="Times New Roman"/>
          <w:lang w:val="ru-RU"/>
        </w:rPr>
        <w:t>Приведений у Декларації перелік можливих ризиків при здійсненні операцій на фінансовому ринку не є вичерпним. Підписавши цей Генеральний договір Клієнт засвідчує, що він повідомлений про фактори ризиків, усвідомлює всі пов’язані з ризиками наслідки та приймає на себе перелічені вище та інші ризики, які пов’язані зі здійсненням операцій на фінансовому ринку України. Клієнт свідчить, що приймає рішення про здійснення (припинення) інвестиції зважено і обережно і не може звинувачувати Інвестиційну фірму у фінансових результатах своїх інвестицій, що стали наслідками добросовісного виконання Інвестиційною фірмою належним чином оформлених Замовлень.</w:t>
      </w:r>
    </w:p>
    <w:p w14:paraId="73AD540F" w14:textId="2FA94FE4" w:rsidR="00A16A5A" w:rsidRDefault="00A16A5A" w:rsidP="00675C04">
      <w:pPr>
        <w:spacing w:line="240" w:lineRule="auto"/>
        <w:rPr>
          <w:rFonts w:ascii="Times New Roman" w:hAnsi="Times New Roman" w:cs="Times New Roman"/>
          <w:lang w:val="ru-RU"/>
        </w:rPr>
      </w:pPr>
    </w:p>
    <w:p w14:paraId="0D6AA251" w14:textId="4EE1B1A6" w:rsidR="0016257D" w:rsidRDefault="0016257D" w:rsidP="00675C04">
      <w:pPr>
        <w:spacing w:line="240" w:lineRule="auto"/>
        <w:rPr>
          <w:rFonts w:ascii="Times New Roman" w:hAnsi="Times New Roman" w:cs="Times New Roman"/>
          <w:lang w:val="ru-RU"/>
        </w:rPr>
      </w:pPr>
    </w:p>
    <w:p w14:paraId="43691E4C" w14:textId="32BC2027" w:rsidR="0016257D" w:rsidRDefault="0016257D" w:rsidP="00675C04">
      <w:pPr>
        <w:spacing w:line="240" w:lineRule="auto"/>
        <w:rPr>
          <w:rFonts w:ascii="Times New Roman" w:hAnsi="Times New Roman" w:cs="Times New Roman"/>
          <w:lang w:val="ru-RU"/>
        </w:rPr>
      </w:pPr>
    </w:p>
    <w:p w14:paraId="762A4A23" w14:textId="4F6B15FA" w:rsidR="0016257D" w:rsidRDefault="0016257D" w:rsidP="00675C04">
      <w:pPr>
        <w:spacing w:line="240" w:lineRule="auto"/>
        <w:rPr>
          <w:rFonts w:ascii="Times New Roman" w:hAnsi="Times New Roman" w:cs="Times New Roman"/>
          <w:lang w:val="ru-RU"/>
        </w:rPr>
      </w:pPr>
    </w:p>
    <w:p w14:paraId="5A36FC00" w14:textId="0A6E6039" w:rsidR="0016257D" w:rsidRDefault="0016257D" w:rsidP="00675C04">
      <w:pPr>
        <w:spacing w:line="240" w:lineRule="auto"/>
        <w:rPr>
          <w:rFonts w:ascii="Times New Roman" w:hAnsi="Times New Roman" w:cs="Times New Roman"/>
          <w:lang w:val="ru-RU"/>
        </w:rPr>
      </w:pPr>
    </w:p>
    <w:p w14:paraId="476E247A" w14:textId="677A37E1" w:rsidR="0016257D" w:rsidRDefault="0016257D" w:rsidP="00675C04">
      <w:pPr>
        <w:spacing w:line="240" w:lineRule="auto"/>
        <w:rPr>
          <w:rFonts w:ascii="Times New Roman" w:hAnsi="Times New Roman" w:cs="Times New Roman"/>
          <w:lang w:val="ru-RU"/>
        </w:rPr>
      </w:pPr>
    </w:p>
    <w:p w14:paraId="56BEB197" w14:textId="6CAFDB8C" w:rsidR="0016257D" w:rsidRDefault="0016257D" w:rsidP="00675C04">
      <w:pPr>
        <w:spacing w:line="240" w:lineRule="auto"/>
        <w:rPr>
          <w:rFonts w:ascii="Times New Roman" w:hAnsi="Times New Roman" w:cs="Times New Roman"/>
          <w:lang w:val="ru-RU"/>
        </w:rPr>
      </w:pPr>
    </w:p>
    <w:p w14:paraId="31868711" w14:textId="10F85EBC" w:rsidR="0016257D" w:rsidRDefault="0016257D" w:rsidP="00675C04">
      <w:pPr>
        <w:spacing w:line="240" w:lineRule="auto"/>
        <w:rPr>
          <w:rFonts w:ascii="Times New Roman" w:hAnsi="Times New Roman" w:cs="Times New Roman"/>
          <w:lang w:val="ru-RU"/>
        </w:rPr>
      </w:pPr>
    </w:p>
    <w:p w14:paraId="235717AF" w14:textId="5F344FB1" w:rsidR="0016257D" w:rsidRDefault="0016257D" w:rsidP="00675C04">
      <w:pPr>
        <w:spacing w:line="240" w:lineRule="auto"/>
        <w:rPr>
          <w:rFonts w:ascii="Times New Roman" w:hAnsi="Times New Roman" w:cs="Times New Roman"/>
          <w:lang w:val="ru-RU"/>
        </w:rPr>
      </w:pPr>
    </w:p>
    <w:p w14:paraId="74E21F33" w14:textId="21D3E8EE" w:rsidR="0016257D" w:rsidRDefault="0016257D" w:rsidP="00675C04">
      <w:pPr>
        <w:spacing w:line="240" w:lineRule="auto"/>
        <w:rPr>
          <w:rFonts w:ascii="Times New Roman" w:hAnsi="Times New Roman" w:cs="Times New Roman"/>
          <w:lang w:val="ru-RU"/>
        </w:rPr>
      </w:pPr>
    </w:p>
    <w:p w14:paraId="599BC09C" w14:textId="47390BD2" w:rsidR="0016257D" w:rsidRDefault="0016257D" w:rsidP="00675C04">
      <w:pPr>
        <w:spacing w:line="240" w:lineRule="auto"/>
        <w:rPr>
          <w:rFonts w:ascii="Times New Roman" w:hAnsi="Times New Roman" w:cs="Times New Roman"/>
          <w:lang w:val="ru-RU"/>
        </w:rPr>
      </w:pPr>
    </w:p>
    <w:p w14:paraId="72874762" w14:textId="4ACA8179" w:rsidR="0016257D" w:rsidRDefault="0016257D" w:rsidP="00675C04">
      <w:pPr>
        <w:spacing w:line="240" w:lineRule="auto"/>
        <w:rPr>
          <w:rFonts w:ascii="Times New Roman" w:hAnsi="Times New Roman" w:cs="Times New Roman"/>
          <w:lang w:val="ru-RU"/>
        </w:rPr>
      </w:pPr>
    </w:p>
    <w:p w14:paraId="55D5D6FF" w14:textId="07A5DEE4" w:rsidR="0016257D" w:rsidRDefault="0016257D" w:rsidP="00675C04">
      <w:pPr>
        <w:spacing w:line="240" w:lineRule="auto"/>
        <w:rPr>
          <w:rFonts w:ascii="Times New Roman" w:hAnsi="Times New Roman" w:cs="Times New Roman"/>
          <w:lang w:val="ru-RU"/>
        </w:rPr>
      </w:pPr>
    </w:p>
    <w:p w14:paraId="016473AD" w14:textId="05B652B9" w:rsidR="0016257D" w:rsidRDefault="0016257D" w:rsidP="00675C04">
      <w:pPr>
        <w:spacing w:line="240" w:lineRule="auto"/>
        <w:rPr>
          <w:rFonts w:ascii="Times New Roman" w:hAnsi="Times New Roman" w:cs="Times New Roman"/>
          <w:lang w:val="ru-RU"/>
        </w:rPr>
      </w:pPr>
    </w:p>
    <w:p w14:paraId="3E903064" w14:textId="77777777" w:rsidR="0016257D" w:rsidRPr="00A16A5A" w:rsidRDefault="0016257D" w:rsidP="00675C04">
      <w:pPr>
        <w:spacing w:line="240" w:lineRule="auto"/>
        <w:rPr>
          <w:rFonts w:ascii="Times New Roman" w:hAnsi="Times New Roman" w:cs="Times New Roman"/>
          <w:lang w:val="ru-RU"/>
        </w:rPr>
      </w:pPr>
    </w:p>
    <w:p w14:paraId="5B7ECB5E" w14:textId="77777777" w:rsidR="00A16A5A" w:rsidRPr="006D067E" w:rsidRDefault="00A16A5A" w:rsidP="006D067E">
      <w:pPr>
        <w:spacing w:line="240" w:lineRule="auto"/>
        <w:ind w:firstLine="5812"/>
        <w:rPr>
          <w:rFonts w:ascii="Times New Roman" w:hAnsi="Times New Roman" w:cs="Times New Roman"/>
          <w:b/>
          <w:bCs/>
          <w:lang w:val="ru-RU"/>
        </w:rPr>
      </w:pPr>
      <w:r w:rsidRPr="006D067E">
        <w:rPr>
          <w:rFonts w:ascii="Times New Roman" w:hAnsi="Times New Roman" w:cs="Times New Roman"/>
          <w:b/>
          <w:bCs/>
          <w:lang w:val="ru-RU"/>
        </w:rPr>
        <w:lastRenderedPageBreak/>
        <w:t>Додаток № 1  до Генерального договору </w:t>
      </w:r>
    </w:p>
    <w:p w14:paraId="2A4CC22C" w14:textId="77777777" w:rsidR="00A16A5A" w:rsidRPr="00A16A5A" w:rsidRDefault="00A16A5A" w:rsidP="00675C04">
      <w:pPr>
        <w:spacing w:line="240" w:lineRule="auto"/>
        <w:rPr>
          <w:rFonts w:ascii="Times New Roman" w:hAnsi="Times New Roman" w:cs="Times New Roman"/>
          <w:lang w:val="ru-RU"/>
        </w:rPr>
      </w:pPr>
    </w:p>
    <w:p w14:paraId="5DC1D079" w14:textId="77777777" w:rsidR="00A16A5A" w:rsidRPr="006D067E" w:rsidRDefault="00A16A5A" w:rsidP="006D067E">
      <w:pPr>
        <w:pStyle w:val="ac"/>
        <w:rPr>
          <w:rFonts w:ascii="Times New Roman" w:hAnsi="Times New Roman" w:cs="Times New Roman"/>
          <w:b/>
          <w:bCs/>
          <w:sz w:val="18"/>
          <w:szCs w:val="18"/>
          <w:lang w:val="ru-RU"/>
        </w:rPr>
      </w:pPr>
      <w:r w:rsidRPr="006D067E">
        <w:rPr>
          <w:rFonts w:ascii="Times New Roman" w:hAnsi="Times New Roman" w:cs="Times New Roman"/>
          <w:b/>
          <w:bCs/>
          <w:sz w:val="18"/>
          <w:szCs w:val="18"/>
          <w:lang w:val="ru-RU"/>
        </w:rPr>
        <w:t> ЗАМОВЛЕННЯ №_____ від  ________________ р.</w:t>
      </w:r>
    </w:p>
    <w:p w14:paraId="6F679E87" w14:textId="77777777" w:rsidR="00A16A5A" w:rsidRPr="006D067E" w:rsidRDefault="00A16A5A" w:rsidP="006D067E">
      <w:pPr>
        <w:pStyle w:val="ac"/>
        <w:rPr>
          <w:rFonts w:ascii="Times New Roman" w:hAnsi="Times New Roman" w:cs="Times New Roman"/>
          <w:b/>
          <w:bCs/>
          <w:sz w:val="18"/>
          <w:szCs w:val="18"/>
          <w:lang w:val="ru-RU"/>
        </w:rPr>
      </w:pPr>
      <w:r w:rsidRPr="006D067E">
        <w:rPr>
          <w:rFonts w:ascii="Times New Roman" w:hAnsi="Times New Roman" w:cs="Times New Roman"/>
          <w:b/>
          <w:bCs/>
          <w:sz w:val="18"/>
          <w:szCs w:val="18"/>
          <w:lang w:val="ru-RU"/>
        </w:rPr>
        <w:t>до Генерального договору № ________ від _____________ р.</w:t>
      </w:r>
    </w:p>
    <w:p w14:paraId="75398272" w14:textId="77777777" w:rsidR="00A16A5A" w:rsidRPr="006D067E" w:rsidRDefault="00A16A5A" w:rsidP="006D067E">
      <w:pPr>
        <w:pStyle w:val="ac"/>
        <w:rPr>
          <w:rFonts w:ascii="Times New Roman" w:hAnsi="Times New Roman" w:cs="Times New Roman"/>
          <w:b/>
          <w:bCs/>
          <w:sz w:val="18"/>
          <w:szCs w:val="18"/>
          <w:lang w:val="ru-RU"/>
        </w:rPr>
      </w:pPr>
    </w:p>
    <w:p w14:paraId="3A4E54B6"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1. Вид Замовлення</w:t>
      </w:r>
      <w:r w:rsidRPr="006D067E">
        <w:rPr>
          <w:rFonts w:ascii="Times New Roman" w:hAnsi="Times New Roman" w:cs="Times New Roman"/>
          <w:b/>
          <w:bCs/>
          <w:sz w:val="18"/>
          <w:szCs w:val="18"/>
          <w:lang w:val="ru-RU"/>
        </w:rPr>
        <w:t xml:space="preserve"> (</w:t>
      </w:r>
      <w:r w:rsidRPr="006D067E">
        <w:rPr>
          <w:rFonts w:ascii="Times New Roman" w:hAnsi="Times New Roman" w:cs="Times New Roman"/>
          <w:sz w:val="18"/>
          <w:szCs w:val="18"/>
          <w:lang w:val="ru-RU"/>
        </w:rPr>
        <w:t>у відповідній клітині поставити позначку)</w:t>
      </w:r>
    </w:p>
    <w:p w14:paraId="6A14A959" w14:textId="77777777" w:rsidR="00A16A5A" w:rsidRPr="006D067E" w:rsidRDefault="00A16A5A" w:rsidP="00675C04">
      <w:pPr>
        <w:spacing w:line="240" w:lineRule="auto"/>
        <w:rPr>
          <w:rFonts w:ascii="Times New Roman" w:hAnsi="Times New Roman" w:cs="Times New Roman"/>
          <w:sz w:val="18"/>
          <w:szCs w:val="18"/>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423"/>
        <w:gridCol w:w="488"/>
        <w:gridCol w:w="486"/>
        <w:gridCol w:w="581"/>
        <w:gridCol w:w="540"/>
        <w:gridCol w:w="620"/>
        <w:gridCol w:w="590"/>
        <w:gridCol w:w="618"/>
        <w:gridCol w:w="701"/>
        <w:gridCol w:w="451"/>
        <w:gridCol w:w="1523"/>
      </w:tblGrid>
      <w:tr w:rsidR="00A16A5A" w:rsidRPr="006D067E" w14:paraId="4AE75E42" w14:textId="77777777" w:rsidTr="00A16A5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1B65E"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РЗ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DF15D"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 xml:space="preserve"> ЛЗ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165FD"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 xml:space="preserve"> СЗ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824F49"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FOC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287C16"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IOC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D264B"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AON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2DDF8"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GTC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AA3AF4"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DAУ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45D88"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РЕПО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A521C4"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D439B"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інше замовлення</w:t>
            </w:r>
          </w:p>
        </w:tc>
      </w:tr>
      <w:tr w:rsidR="00A16A5A" w:rsidRPr="006D067E" w14:paraId="28F04310" w14:textId="77777777" w:rsidTr="00A16A5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17F8B9"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AD9685"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742077"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E5F40"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691B59"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B2456"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DCC97"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5E6C10"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6465EB"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6ECD9"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D8F9B5" w14:textId="77777777" w:rsidR="00A16A5A" w:rsidRPr="006D067E" w:rsidRDefault="00A16A5A" w:rsidP="00675C04">
            <w:pPr>
              <w:spacing w:line="240" w:lineRule="auto"/>
              <w:rPr>
                <w:rFonts w:ascii="Times New Roman" w:hAnsi="Times New Roman" w:cs="Times New Roman"/>
                <w:sz w:val="18"/>
                <w:szCs w:val="18"/>
                <w:lang w:val="ru-RU"/>
              </w:rPr>
            </w:pPr>
          </w:p>
        </w:tc>
      </w:tr>
    </w:tbl>
    <w:p w14:paraId="24497A08" w14:textId="77777777" w:rsidR="00A16A5A" w:rsidRPr="006D067E" w:rsidRDefault="00A16A5A" w:rsidP="00675C04">
      <w:pPr>
        <w:spacing w:line="240" w:lineRule="auto"/>
        <w:rPr>
          <w:rFonts w:ascii="Times New Roman" w:hAnsi="Times New Roman" w:cs="Times New Roman"/>
          <w:sz w:val="18"/>
          <w:szCs w:val="18"/>
          <w:lang w:val="ru-RU"/>
        </w:rPr>
      </w:pPr>
    </w:p>
    <w:p w14:paraId="31DB47BE"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2. Вид  послуги (у відповідній клітині поставити позначку)</w:t>
      </w:r>
    </w:p>
    <w:tbl>
      <w:tblPr>
        <w:tblW w:w="0" w:type="auto"/>
        <w:tblCellMar>
          <w:top w:w="15" w:type="dxa"/>
          <w:left w:w="15" w:type="dxa"/>
          <w:bottom w:w="15" w:type="dxa"/>
          <w:right w:w="15" w:type="dxa"/>
        </w:tblCellMar>
        <w:tblLook w:val="04A0" w:firstRow="1" w:lastRow="0" w:firstColumn="1" w:lastColumn="0" w:noHBand="0" w:noVBand="1"/>
      </w:tblPr>
      <w:tblGrid>
        <w:gridCol w:w="236"/>
        <w:gridCol w:w="807"/>
        <w:gridCol w:w="236"/>
        <w:gridCol w:w="236"/>
        <w:gridCol w:w="797"/>
        <w:gridCol w:w="236"/>
        <w:gridCol w:w="236"/>
        <w:gridCol w:w="571"/>
        <w:gridCol w:w="236"/>
        <w:gridCol w:w="236"/>
        <w:gridCol w:w="749"/>
        <w:gridCol w:w="236"/>
        <w:gridCol w:w="236"/>
        <w:gridCol w:w="645"/>
      </w:tblGrid>
      <w:tr w:rsidR="00A16A5A" w:rsidRPr="006D067E" w14:paraId="0F11984C" w14:textId="77777777" w:rsidTr="00A16A5A">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45C1EC3"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14:paraId="1D14F768"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купівля</w:t>
            </w:r>
          </w:p>
        </w:tc>
        <w:tc>
          <w:tcPr>
            <w:tcW w:w="0" w:type="auto"/>
            <w:tcBorders>
              <w:left w:val="single" w:sz="4" w:space="0" w:color="000000"/>
              <w:right w:val="single" w:sz="8" w:space="0" w:color="000000"/>
            </w:tcBorders>
            <w:tcMar>
              <w:top w:w="0" w:type="dxa"/>
              <w:left w:w="115" w:type="dxa"/>
              <w:bottom w:w="0" w:type="dxa"/>
              <w:right w:w="115" w:type="dxa"/>
            </w:tcMar>
            <w:vAlign w:val="center"/>
            <w:hideMark/>
          </w:tcPr>
          <w:p w14:paraId="48641F15"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4093B5A"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14:paraId="3136B38E"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продаж</w:t>
            </w:r>
          </w:p>
        </w:tc>
        <w:tc>
          <w:tcPr>
            <w:tcW w:w="0" w:type="auto"/>
            <w:tcBorders>
              <w:left w:val="single" w:sz="4" w:space="0" w:color="000000"/>
              <w:right w:val="single" w:sz="8" w:space="0" w:color="000000"/>
            </w:tcBorders>
            <w:tcMar>
              <w:top w:w="0" w:type="dxa"/>
              <w:left w:w="115" w:type="dxa"/>
              <w:bottom w:w="0" w:type="dxa"/>
              <w:right w:w="115" w:type="dxa"/>
            </w:tcMar>
            <w:vAlign w:val="center"/>
            <w:hideMark/>
          </w:tcPr>
          <w:p w14:paraId="1A93097B"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5DF84AF"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14:paraId="3AF1EE9D"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міна</w:t>
            </w:r>
          </w:p>
        </w:tc>
        <w:tc>
          <w:tcPr>
            <w:tcW w:w="0" w:type="auto"/>
            <w:tcBorders>
              <w:left w:val="single" w:sz="4" w:space="0" w:color="000000"/>
              <w:right w:val="single" w:sz="4" w:space="0" w:color="000000"/>
            </w:tcBorders>
            <w:tcMar>
              <w:top w:w="0" w:type="dxa"/>
              <w:left w:w="115" w:type="dxa"/>
              <w:bottom w:w="0" w:type="dxa"/>
              <w:right w:w="115" w:type="dxa"/>
            </w:tcMar>
            <w:hideMark/>
          </w:tcPr>
          <w:p w14:paraId="6E5BC9FC"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0B74A"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647DB4"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позика</w:t>
            </w:r>
          </w:p>
        </w:tc>
        <w:tc>
          <w:tcPr>
            <w:tcW w:w="0" w:type="auto"/>
            <w:tcBorders>
              <w:left w:val="single" w:sz="4" w:space="0" w:color="000000"/>
              <w:right w:val="single" w:sz="4" w:space="0" w:color="000000"/>
            </w:tcBorders>
            <w:tcMar>
              <w:top w:w="0" w:type="dxa"/>
              <w:left w:w="115" w:type="dxa"/>
              <w:bottom w:w="0" w:type="dxa"/>
              <w:right w:w="115" w:type="dxa"/>
            </w:tcMar>
            <w:hideMark/>
          </w:tcPr>
          <w:p w14:paraId="21374AD8"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EFBE3"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20EE1"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інше:</w:t>
            </w:r>
          </w:p>
        </w:tc>
      </w:tr>
    </w:tbl>
    <w:p w14:paraId="310C44D2" w14:textId="77777777" w:rsidR="00A16A5A" w:rsidRPr="006D067E" w:rsidRDefault="00A16A5A" w:rsidP="00675C04">
      <w:pPr>
        <w:spacing w:line="240" w:lineRule="auto"/>
        <w:rPr>
          <w:rFonts w:ascii="Times New Roman" w:hAnsi="Times New Roman" w:cs="Times New Roman"/>
          <w:sz w:val="18"/>
          <w:szCs w:val="18"/>
          <w:lang w:val="ru-RU"/>
        </w:rPr>
      </w:pPr>
    </w:p>
    <w:tbl>
      <w:tblPr>
        <w:tblW w:w="10485" w:type="dxa"/>
        <w:tblCellMar>
          <w:top w:w="15" w:type="dxa"/>
          <w:left w:w="15" w:type="dxa"/>
          <w:bottom w:w="15" w:type="dxa"/>
          <w:right w:w="15" w:type="dxa"/>
        </w:tblCellMar>
        <w:tblLook w:val="04A0" w:firstRow="1" w:lastRow="0" w:firstColumn="1" w:lastColumn="0" w:noHBand="0" w:noVBand="1"/>
      </w:tblPr>
      <w:tblGrid>
        <w:gridCol w:w="1880"/>
        <w:gridCol w:w="236"/>
        <w:gridCol w:w="4384"/>
        <w:gridCol w:w="236"/>
        <w:gridCol w:w="1268"/>
        <w:gridCol w:w="1268"/>
        <w:gridCol w:w="1213"/>
      </w:tblGrid>
      <w:tr w:rsidR="00A16A5A" w:rsidRPr="006D067E" w14:paraId="10DF781C" w14:textId="77777777" w:rsidTr="00FA55A7">
        <w:trPr>
          <w:gridAfter w:val="2"/>
          <w:wAfter w:w="2481" w:type="dxa"/>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B90262"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Строк дії Замовлення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D3820"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дата набрання чинності Замовлення: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C7F0B40"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BC5D08" w14:paraId="00F6B743" w14:textId="77777777" w:rsidTr="00FA55A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0F8630"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BCC3C"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1F6E9C0"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відкрите Замовлення </w:t>
            </w:r>
          </w:p>
          <w:p w14:paraId="487216F5"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(діє до моменту виконання або відкликання (відміни))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E79549"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56FB04"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Замовлення на термін, діє  до:</w:t>
            </w:r>
          </w:p>
        </w:tc>
        <w:tc>
          <w:tcPr>
            <w:tcW w:w="1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E8BF10" w14:textId="77777777" w:rsidR="00A16A5A" w:rsidRPr="006D067E" w:rsidRDefault="00A16A5A" w:rsidP="00675C04">
            <w:pPr>
              <w:spacing w:line="240" w:lineRule="auto"/>
              <w:rPr>
                <w:rFonts w:ascii="Times New Roman" w:hAnsi="Times New Roman" w:cs="Times New Roman"/>
                <w:sz w:val="18"/>
                <w:szCs w:val="18"/>
                <w:lang w:val="ru-RU"/>
              </w:rPr>
            </w:pPr>
          </w:p>
        </w:tc>
      </w:tr>
    </w:tbl>
    <w:p w14:paraId="13E12EC7"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3. Реквізити фінансового інструменту</w:t>
      </w:r>
    </w:p>
    <w:tbl>
      <w:tblPr>
        <w:tblW w:w="10485" w:type="dxa"/>
        <w:tblCellMar>
          <w:top w:w="15" w:type="dxa"/>
          <w:left w:w="15" w:type="dxa"/>
          <w:bottom w:w="15" w:type="dxa"/>
          <w:right w:w="15" w:type="dxa"/>
        </w:tblCellMar>
        <w:tblLook w:val="04A0" w:firstRow="1" w:lastRow="0" w:firstColumn="1" w:lastColumn="0" w:noHBand="0" w:noVBand="1"/>
      </w:tblPr>
      <w:tblGrid>
        <w:gridCol w:w="590"/>
        <w:gridCol w:w="9076"/>
        <w:gridCol w:w="819"/>
      </w:tblGrid>
      <w:tr w:rsidR="00A16A5A" w:rsidRPr="00BC5D08" w14:paraId="3AB8FB2F" w14:textId="77777777" w:rsidTr="00FA55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C4CEE"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B0141F"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Вид/тип/найменування фінансового інструменту</w:t>
            </w:r>
          </w:p>
        </w:tc>
        <w:tc>
          <w:tcPr>
            <w:tcW w:w="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0E0B3"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BC5D08" w14:paraId="440E96DB" w14:textId="77777777" w:rsidTr="00FA55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8910D7"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57EEFB"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Серія фінансового інструменту (за наявності)</w:t>
            </w:r>
          </w:p>
        </w:tc>
        <w:tc>
          <w:tcPr>
            <w:tcW w:w="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7FC16"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BC5D08" w14:paraId="64D4339F" w14:textId="77777777" w:rsidTr="00FA55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E389B"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8E8579"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Найменування Емітента фінансового інструменту (або особи, яка видала фінансовий інструмент) </w:t>
            </w:r>
          </w:p>
        </w:tc>
        <w:tc>
          <w:tcPr>
            <w:tcW w:w="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353D8"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6D067E" w14:paraId="21C5D6B0" w14:textId="77777777" w:rsidTr="00FA55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D56C5"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68EA5"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Код ЄДРПОУ/ номер реєстрації/ Емітента фінансового інструменту (або особи, яка видала фінансовий інструмент)</w:t>
            </w:r>
          </w:p>
          <w:p w14:paraId="781B29ED"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Код LEI </w:t>
            </w:r>
          </w:p>
        </w:tc>
        <w:tc>
          <w:tcPr>
            <w:tcW w:w="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246F12"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6D067E" w14:paraId="037E1D17" w14:textId="77777777" w:rsidTr="00FA55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9ECEA"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9291B9"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Номінальна вартість фінансового інструменту, грн. /дол. США/євро</w:t>
            </w:r>
          </w:p>
        </w:tc>
        <w:tc>
          <w:tcPr>
            <w:tcW w:w="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ED08F9"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6D067E" w14:paraId="7D96F7E0" w14:textId="77777777" w:rsidTr="00FA55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EACA9"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A296CD"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Форма випуску фінансового інструменту</w:t>
            </w:r>
          </w:p>
        </w:tc>
        <w:tc>
          <w:tcPr>
            <w:tcW w:w="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801448"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6D067E" w14:paraId="20FE7CE4" w14:textId="77777777" w:rsidTr="00FA55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057E5"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28A80F"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Форма існування фінансового інструменту</w:t>
            </w:r>
          </w:p>
        </w:tc>
        <w:tc>
          <w:tcPr>
            <w:tcW w:w="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42650"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BC5D08" w14:paraId="6970A13E" w14:textId="77777777" w:rsidTr="00FA55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A08A6"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FAAFA2"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Міжнародний ідентифікаційний номер (код ISIN) фінансового інструменту</w:t>
            </w:r>
          </w:p>
        </w:tc>
        <w:tc>
          <w:tcPr>
            <w:tcW w:w="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09FD6"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6D067E" w14:paraId="04DB09AA" w14:textId="77777777" w:rsidTr="00FA55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6B2D3"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670053"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Дата погашення фінансового інструменту</w:t>
            </w:r>
          </w:p>
        </w:tc>
        <w:tc>
          <w:tcPr>
            <w:tcW w:w="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4486C"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6D067E" w14:paraId="1D6B801F" w14:textId="77777777" w:rsidTr="00FA55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E7B99"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i/>
                <w:iCs/>
                <w:sz w:val="18"/>
                <w:szCs w:val="18"/>
                <w:lang w:val="ru-RU"/>
              </w:rPr>
              <w:t>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A8894D"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i/>
                <w:iCs/>
                <w:sz w:val="18"/>
                <w:szCs w:val="18"/>
                <w:lang w:val="ru-RU"/>
              </w:rPr>
              <w:t>Додаткові реквізити за необхідності</w:t>
            </w:r>
          </w:p>
        </w:tc>
        <w:tc>
          <w:tcPr>
            <w:tcW w:w="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83E51" w14:textId="77777777" w:rsidR="00A16A5A" w:rsidRPr="006D067E" w:rsidRDefault="00A16A5A" w:rsidP="00675C04">
            <w:pPr>
              <w:spacing w:line="240" w:lineRule="auto"/>
              <w:rPr>
                <w:rFonts w:ascii="Times New Roman" w:hAnsi="Times New Roman" w:cs="Times New Roman"/>
                <w:sz w:val="18"/>
                <w:szCs w:val="18"/>
                <w:lang w:val="ru-RU"/>
              </w:rPr>
            </w:pPr>
          </w:p>
        </w:tc>
      </w:tr>
    </w:tbl>
    <w:p w14:paraId="401EDECF"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4. Умови</w:t>
      </w:r>
    </w:p>
    <w:tbl>
      <w:tblPr>
        <w:tblW w:w="0" w:type="auto"/>
        <w:tblCellMar>
          <w:top w:w="15" w:type="dxa"/>
          <w:left w:w="15" w:type="dxa"/>
          <w:bottom w:w="15" w:type="dxa"/>
          <w:right w:w="15" w:type="dxa"/>
        </w:tblCellMar>
        <w:tblLook w:val="04A0" w:firstRow="1" w:lastRow="0" w:firstColumn="1" w:lastColumn="0" w:noHBand="0" w:noVBand="1"/>
      </w:tblPr>
      <w:tblGrid>
        <w:gridCol w:w="500"/>
        <w:gridCol w:w="1973"/>
        <w:gridCol w:w="237"/>
        <w:gridCol w:w="1708"/>
        <w:gridCol w:w="236"/>
        <w:gridCol w:w="2748"/>
        <w:gridCol w:w="236"/>
        <w:gridCol w:w="2842"/>
      </w:tblGrid>
      <w:tr w:rsidR="00A16A5A" w:rsidRPr="006D067E" w14:paraId="29C130A1" w14:textId="77777777" w:rsidTr="00A16A5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671DA"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4.1.</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5AC36A"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Кількість фінансових інструментів, шт.</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77FDE"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6D067E" w14:paraId="4B36C6B9" w14:textId="77777777" w:rsidTr="00A16A5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3672D"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4.2.</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4A2F9F"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Ціна одного фінансового інструменту, грн./</w:t>
            </w:r>
            <w:r w:rsidRPr="006D067E">
              <w:rPr>
                <w:rFonts w:ascii="Times New Roman" w:hAnsi="Times New Roman" w:cs="Times New Roman"/>
                <w:sz w:val="18"/>
                <w:szCs w:val="18"/>
                <w:lang w:val="ru-RU"/>
              </w:rPr>
              <w:br/>
              <w:t>дол. США/ євро.</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1AD6C"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BC5D08" w14:paraId="3DA57387" w14:textId="77777777" w:rsidTr="00A16A5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293C8"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4.3.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C1AB3"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Сума (орієнтовна сума) договору відповідно до умов Замовлення, грн.</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B923F6"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6D067E" w14:paraId="3376562B" w14:textId="77777777" w:rsidTr="00A16A5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4DCFBF"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4.4.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2793BA"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 xml:space="preserve">Дохідність </w:t>
            </w:r>
            <w:r w:rsidRPr="006D067E">
              <w:rPr>
                <w:rFonts w:ascii="Times New Roman" w:hAnsi="Times New Roman" w:cs="Times New Roman"/>
                <w:i/>
                <w:iCs/>
                <w:sz w:val="18"/>
                <w:szCs w:val="18"/>
                <w:lang w:val="ru-RU"/>
              </w:rPr>
              <w:t>(за необхідності)</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B0909"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6D067E" w14:paraId="5ECF7D02" w14:textId="77777777" w:rsidTr="00A16A5A">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4766D"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4.5.</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D02663"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Місце укладення договору на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D884B"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28767"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первинний ринок</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15250"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i/>
                <w:iCs/>
                <w:sz w:val="18"/>
                <w:szCs w:val="18"/>
                <w:lang w:val="ru-RU"/>
              </w:rPr>
              <w:t>Вказати місце проведення розміщення</w:t>
            </w:r>
          </w:p>
        </w:tc>
      </w:tr>
      <w:tr w:rsidR="00A16A5A" w:rsidRPr="00BC5D08" w14:paraId="0104E4D3" w14:textId="77777777" w:rsidTr="00A16A5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FBAD89"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3D4B9E"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AC6FD"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0A289"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організований ринок</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85EAD"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i/>
                <w:iCs/>
                <w:sz w:val="18"/>
                <w:szCs w:val="18"/>
                <w:lang w:val="ru-RU"/>
              </w:rPr>
              <w:t>вказати найменування оператора організованого ринку</w:t>
            </w:r>
          </w:p>
        </w:tc>
      </w:tr>
      <w:tr w:rsidR="00A16A5A" w:rsidRPr="00BC5D08" w14:paraId="2C651E06" w14:textId="77777777" w:rsidTr="00A16A5A">
        <w:trPr>
          <w:trHeight w:val="1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B1B31"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DEE48C"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28140"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540CB"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неорганізований ринок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360FB"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C6C57"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розрахунок з дотриманням принципу «поставка проти оплати»</w:t>
            </w:r>
          </w:p>
        </w:tc>
      </w:tr>
      <w:tr w:rsidR="00A16A5A" w:rsidRPr="00BC5D08" w14:paraId="0E40324F" w14:textId="77777777" w:rsidTr="00A16A5A">
        <w:trPr>
          <w:trHeight w:val="2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3D8C8B"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458B75"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03F4FA"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D9DCC1"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6D253"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F7772"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розрахунок без дотримання принципу «поставка проти оплати»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61A39"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8ACF7"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оплата безпосередньо з рахунку покупця на рахунок продавця </w:t>
            </w:r>
          </w:p>
        </w:tc>
      </w:tr>
      <w:tr w:rsidR="00A16A5A" w:rsidRPr="006D067E" w14:paraId="7B9837D9" w14:textId="77777777" w:rsidTr="00A16A5A">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D6CB7A"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48EBCC"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8AE134"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EE578A"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A12632"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431691"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5A0AD"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1EB2F"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оплата через рахунок ІФ</w:t>
            </w:r>
          </w:p>
        </w:tc>
      </w:tr>
      <w:tr w:rsidR="00A16A5A" w:rsidRPr="006D067E" w14:paraId="7055DE37" w14:textId="77777777" w:rsidTr="00A16A5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36E81"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i/>
                <w:iCs/>
                <w:sz w:val="18"/>
                <w:szCs w:val="18"/>
                <w:lang w:val="ru-RU"/>
              </w:rPr>
              <w:lastRenderedPageBreak/>
              <w:t>4.6.</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30948"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i/>
                <w:iCs/>
                <w:sz w:val="18"/>
                <w:szCs w:val="18"/>
                <w:lang w:val="ru-RU"/>
              </w:rPr>
              <w:t>Додаткові умови за необхідності</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17CE66" w14:textId="77777777" w:rsidR="00A16A5A" w:rsidRPr="006D067E" w:rsidRDefault="00A16A5A" w:rsidP="00675C04">
            <w:pPr>
              <w:spacing w:line="240" w:lineRule="auto"/>
              <w:rPr>
                <w:rFonts w:ascii="Times New Roman" w:hAnsi="Times New Roman" w:cs="Times New Roman"/>
                <w:sz w:val="18"/>
                <w:szCs w:val="18"/>
                <w:lang w:val="ru-RU"/>
              </w:rPr>
            </w:pPr>
          </w:p>
        </w:tc>
      </w:tr>
    </w:tbl>
    <w:p w14:paraId="293AE8E8"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b/>
          <w:bCs/>
          <w:sz w:val="18"/>
          <w:szCs w:val="18"/>
          <w:lang w:val="ru-RU"/>
        </w:rPr>
        <w:t>Клієнт свідчить, що проінформований Інвестиційною фірмою про поточний стан фінансового ринку стосовно фінансових інструментів, що є предметом замовлення.</w:t>
      </w:r>
    </w:p>
    <w:p w14:paraId="5405C8BF" w14:textId="77777777" w:rsidR="00A16A5A" w:rsidRPr="006D067E" w:rsidRDefault="00A16A5A" w:rsidP="00675C04">
      <w:pPr>
        <w:spacing w:line="240" w:lineRule="auto"/>
        <w:rPr>
          <w:rFonts w:ascii="Times New Roman" w:hAnsi="Times New Roman" w:cs="Times New Roman"/>
          <w:sz w:val="18"/>
          <w:szCs w:val="18"/>
          <w:lang w:val="ru-RU"/>
        </w:rPr>
      </w:pPr>
    </w:p>
    <w:p w14:paraId="7CF337A0"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5.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2512"/>
        <w:gridCol w:w="2030"/>
        <w:gridCol w:w="5938"/>
      </w:tblGrid>
      <w:tr w:rsidR="00A16A5A" w:rsidRPr="00BC5D08" w14:paraId="5592BA45" w14:textId="77777777" w:rsidTr="00A16A5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9F914"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b/>
                <w:bCs/>
                <w:sz w:val="18"/>
                <w:szCs w:val="18"/>
                <w:lang w:val="ru-RU"/>
              </w:rPr>
              <w:t>Назва реквізиту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522CC"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b/>
                <w:bCs/>
                <w:sz w:val="18"/>
                <w:szCs w:val="18"/>
                <w:lang w:val="ru-RU"/>
              </w:rPr>
              <w:t>Інвестиційна фірма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4BE3B"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b/>
                <w:bCs/>
                <w:sz w:val="18"/>
                <w:szCs w:val="18"/>
                <w:lang w:val="ru-RU"/>
              </w:rPr>
              <w:t xml:space="preserve">Клієнт: </w:t>
            </w:r>
            <w:r w:rsidRPr="006D067E">
              <w:rPr>
                <w:rFonts w:ascii="Times New Roman" w:hAnsi="Times New Roman" w:cs="Times New Roman"/>
                <w:i/>
                <w:iCs/>
                <w:sz w:val="18"/>
                <w:szCs w:val="18"/>
                <w:lang w:val="ru-RU"/>
              </w:rPr>
              <w:t>прізвище, ім’я, по батькові РНОКПП Клієнта/ Найменування , код за ЄДРПОУ  (для ЮО)</w:t>
            </w:r>
          </w:p>
        </w:tc>
      </w:tr>
      <w:tr w:rsidR="00A16A5A" w:rsidRPr="006D067E" w14:paraId="29BD9F7A" w14:textId="77777777" w:rsidTr="00A16A5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0C4ED"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Посада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8FAC76"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80826"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6D067E" w14:paraId="52334257" w14:textId="77777777" w:rsidTr="00A16A5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BE6F5"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Підстава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82476"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BAC71"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6D067E" w14:paraId="6A0AAE71" w14:textId="77777777" w:rsidTr="00A16A5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4F4E6"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Прізвище, ініціали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B3E79B"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C90D2A"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6D067E" w14:paraId="62C98652" w14:textId="77777777" w:rsidTr="00A16A5A">
        <w:trPr>
          <w:trHeight w:val="2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6D30902"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Підпис, відбиток печатки (за наявності)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D510A"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____________________</w:t>
            </w:r>
          </w:p>
          <w:p w14:paraId="6EEAD920"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М.П.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8A16D"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_______________________</w:t>
            </w:r>
          </w:p>
          <w:p w14:paraId="7475B5BA"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М.П.</w:t>
            </w:r>
          </w:p>
        </w:tc>
      </w:tr>
    </w:tbl>
    <w:p w14:paraId="6832EB67" w14:textId="77777777" w:rsidR="00A16A5A" w:rsidRPr="006D067E" w:rsidRDefault="00A16A5A" w:rsidP="00675C04">
      <w:pPr>
        <w:spacing w:line="240" w:lineRule="auto"/>
        <w:rPr>
          <w:rFonts w:ascii="Times New Roman" w:hAnsi="Times New Roman" w:cs="Times New Roman"/>
          <w:sz w:val="18"/>
          <w:szCs w:val="18"/>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4246"/>
        <w:gridCol w:w="351"/>
        <w:gridCol w:w="386"/>
        <w:gridCol w:w="1186"/>
        <w:gridCol w:w="1186"/>
        <w:gridCol w:w="351"/>
        <w:gridCol w:w="351"/>
        <w:gridCol w:w="1990"/>
      </w:tblGrid>
      <w:tr w:rsidR="00A16A5A" w:rsidRPr="006D067E" w14:paraId="653C4BAC" w14:textId="77777777" w:rsidTr="004F1B17">
        <w:tc>
          <w:tcPr>
            <w:tcW w:w="7640" w:type="dxa"/>
            <w:gridSpan w:val="8"/>
            <w:tcBorders>
              <w:top w:val="single" w:sz="12" w:space="0" w:color="000000"/>
              <w:left w:val="single" w:sz="12" w:space="0" w:color="000000"/>
              <w:bottom w:val="single" w:sz="12" w:space="0" w:color="000000"/>
            </w:tcBorders>
            <w:shd w:val="clear" w:color="auto" w:fill="E2EFD9"/>
            <w:tcMar>
              <w:top w:w="0" w:type="dxa"/>
              <w:left w:w="115" w:type="dxa"/>
              <w:bottom w:w="0" w:type="dxa"/>
              <w:right w:w="115" w:type="dxa"/>
            </w:tcMar>
            <w:hideMark/>
          </w:tcPr>
          <w:p w14:paraId="047DB2AD"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b/>
                <w:bCs/>
                <w:sz w:val="18"/>
                <w:szCs w:val="18"/>
                <w:lang w:val="ru-RU"/>
              </w:rPr>
              <w:t>Заповнюється Інвестиційною фірмою</w:t>
            </w:r>
          </w:p>
        </w:tc>
      </w:tr>
      <w:tr w:rsidR="00A16A5A" w:rsidRPr="006D067E" w14:paraId="120EB323" w14:textId="77777777" w:rsidTr="004F1B17">
        <w:trPr>
          <w:trHeight w:val="206"/>
        </w:trPr>
        <w:tc>
          <w:tcPr>
            <w:tcW w:w="0" w:type="auto"/>
            <w:tcBorders>
              <w:top w:val="single" w:sz="12" w:space="0" w:color="000000"/>
              <w:left w:val="single" w:sz="12" w:space="0" w:color="000000"/>
            </w:tcBorders>
            <w:tcMar>
              <w:top w:w="0" w:type="dxa"/>
              <w:left w:w="115" w:type="dxa"/>
              <w:bottom w:w="0" w:type="dxa"/>
              <w:right w:w="115" w:type="dxa"/>
            </w:tcMar>
            <w:vAlign w:val="bottom"/>
            <w:hideMark/>
          </w:tcPr>
          <w:p w14:paraId="552FE17F"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Дата отримання Замовлення:</w:t>
            </w:r>
          </w:p>
        </w:tc>
        <w:tc>
          <w:tcPr>
            <w:tcW w:w="0" w:type="auto"/>
            <w:tcBorders>
              <w:top w:val="single" w:sz="12" w:space="0" w:color="000000"/>
              <w:bottom w:val="single" w:sz="4" w:space="0" w:color="000000"/>
            </w:tcBorders>
            <w:tcMar>
              <w:top w:w="0" w:type="dxa"/>
              <w:left w:w="115" w:type="dxa"/>
              <w:bottom w:w="0" w:type="dxa"/>
              <w:right w:w="115" w:type="dxa"/>
            </w:tcMar>
            <w:vAlign w:val="bottom"/>
            <w:hideMark/>
          </w:tcPr>
          <w:p w14:paraId="28EAA113"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12" w:space="0" w:color="000000"/>
            </w:tcBorders>
            <w:tcMar>
              <w:top w:w="0" w:type="dxa"/>
              <w:left w:w="115" w:type="dxa"/>
              <w:bottom w:w="0" w:type="dxa"/>
              <w:right w:w="115" w:type="dxa"/>
            </w:tcMar>
            <w:vAlign w:val="bottom"/>
            <w:hideMark/>
          </w:tcPr>
          <w:p w14:paraId="4C322ADF"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gridSpan w:val="2"/>
            <w:tcBorders>
              <w:top w:val="single" w:sz="12" w:space="0" w:color="000000"/>
            </w:tcBorders>
            <w:tcMar>
              <w:top w:w="0" w:type="dxa"/>
              <w:left w:w="115" w:type="dxa"/>
              <w:bottom w:w="0" w:type="dxa"/>
              <w:right w:w="115" w:type="dxa"/>
            </w:tcMar>
            <w:vAlign w:val="bottom"/>
            <w:hideMark/>
          </w:tcPr>
          <w:p w14:paraId="3BA3861A"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Час отримання Замовлення:</w:t>
            </w:r>
          </w:p>
        </w:tc>
        <w:tc>
          <w:tcPr>
            <w:tcW w:w="0" w:type="auto"/>
            <w:tcBorders>
              <w:top w:val="single" w:sz="12" w:space="0" w:color="000000"/>
              <w:bottom w:val="single" w:sz="4" w:space="0" w:color="000000"/>
            </w:tcBorders>
            <w:tcMar>
              <w:top w:w="0" w:type="dxa"/>
              <w:left w:w="115" w:type="dxa"/>
              <w:bottom w:w="0" w:type="dxa"/>
              <w:right w:w="115" w:type="dxa"/>
            </w:tcMar>
            <w:vAlign w:val="bottom"/>
            <w:hideMark/>
          </w:tcPr>
          <w:p w14:paraId="0B5C6C2A"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tcBorders>
              <w:top w:val="single" w:sz="12" w:space="0" w:color="000000"/>
            </w:tcBorders>
            <w:tcMar>
              <w:top w:w="0" w:type="dxa"/>
              <w:left w:w="115" w:type="dxa"/>
              <w:bottom w:w="0" w:type="dxa"/>
              <w:right w:w="115" w:type="dxa"/>
            </w:tcMar>
            <w:vAlign w:val="bottom"/>
            <w:hideMark/>
          </w:tcPr>
          <w:p w14:paraId="73AE3D21" w14:textId="77777777" w:rsidR="00A16A5A" w:rsidRPr="006D067E" w:rsidRDefault="00A16A5A" w:rsidP="00675C04">
            <w:pPr>
              <w:spacing w:line="240" w:lineRule="auto"/>
              <w:rPr>
                <w:rFonts w:ascii="Times New Roman" w:hAnsi="Times New Roman" w:cs="Times New Roman"/>
                <w:sz w:val="18"/>
                <w:szCs w:val="18"/>
                <w:lang w:val="ru-RU"/>
              </w:rPr>
            </w:pPr>
          </w:p>
        </w:tc>
        <w:tc>
          <w:tcPr>
            <w:tcW w:w="1337" w:type="dxa"/>
            <w:vAlign w:val="center"/>
            <w:hideMark/>
          </w:tcPr>
          <w:p w14:paraId="7E6C0BD4" w14:textId="77777777" w:rsidR="00A16A5A" w:rsidRPr="006D067E" w:rsidRDefault="00A16A5A" w:rsidP="00675C04">
            <w:pPr>
              <w:spacing w:line="240" w:lineRule="auto"/>
              <w:rPr>
                <w:rFonts w:ascii="Times New Roman" w:hAnsi="Times New Roman" w:cs="Times New Roman"/>
                <w:sz w:val="18"/>
                <w:szCs w:val="18"/>
                <w:lang w:val="ru-RU"/>
              </w:rPr>
            </w:pPr>
          </w:p>
        </w:tc>
      </w:tr>
      <w:tr w:rsidR="00A16A5A" w:rsidRPr="006D067E" w14:paraId="0EBDFD8D" w14:textId="77777777" w:rsidTr="004F1B17">
        <w:trPr>
          <w:trHeight w:val="355"/>
        </w:trPr>
        <w:tc>
          <w:tcPr>
            <w:tcW w:w="0" w:type="auto"/>
            <w:tcBorders>
              <w:left w:val="single" w:sz="12" w:space="0" w:color="000000"/>
              <w:bottom w:val="single" w:sz="12" w:space="0" w:color="000000"/>
            </w:tcBorders>
            <w:tcMar>
              <w:top w:w="0" w:type="dxa"/>
              <w:left w:w="115" w:type="dxa"/>
              <w:bottom w:w="0" w:type="dxa"/>
              <w:right w:w="115" w:type="dxa"/>
            </w:tcMar>
            <w:vAlign w:val="bottom"/>
            <w:hideMark/>
          </w:tcPr>
          <w:p w14:paraId="58FB0793"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Прийняв: (</w:t>
            </w:r>
            <w:r w:rsidRPr="006D067E">
              <w:rPr>
                <w:rFonts w:ascii="Times New Roman" w:hAnsi="Times New Roman" w:cs="Times New Roman"/>
                <w:i/>
                <w:iCs/>
                <w:sz w:val="18"/>
                <w:szCs w:val="18"/>
                <w:lang w:val="ru-RU"/>
              </w:rPr>
              <w:t>ПІБ співробітника ІФ)</w:t>
            </w:r>
            <w:r w:rsidRPr="006D067E">
              <w:rPr>
                <w:rFonts w:ascii="Times New Roman" w:hAnsi="Times New Roman" w:cs="Times New Roman"/>
                <w:sz w:val="18"/>
                <w:szCs w:val="18"/>
                <w:lang w:val="ru-RU"/>
              </w:rPr>
              <w:t> </w:t>
            </w:r>
          </w:p>
        </w:tc>
        <w:tc>
          <w:tcPr>
            <w:tcW w:w="0" w:type="auto"/>
            <w:tcBorders>
              <w:top w:val="single" w:sz="4" w:space="0" w:color="000000"/>
              <w:bottom w:val="single" w:sz="12" w:space="0" w:color="000000"/>
            </w:tcBorders>
            <w:tcMar>
              <w:top w:w="0" w:type="dxa"/>
              <w:left w:w="115" w:type="dxa"/>
              <w:bottom w:w="0" w:type="dxa"/>
              <w:right w:w="115" w:type="dxa"/>
            </w:tcMar>
            <w:vAlign w:val="bottom"/>
            <w:hideMark/>
          </w:tcPr>
          <w:p w14:paraId="315E85A5" w14:textId="77777777" w:rsidR="00A16A5A" w:rsidRPr="006D067E" w:rsidRDefault="00A16A5A" w:rsidP="00675C04">
            <w:pPr>
              <w:spacing w:line="240" w:lineRule="auto"/>
              <w:rPr>
                <w:rFonts w:ascii="Times New Roman" w:hAnsi="Times New Roman" w:cs="Times New Roman"/>
                <w:sz w:val="18"/>
                <w:szCs w:val="18"/>
                <w:lang w:val="ru-RU"/>
              </w:rPr>
            </w:pPr>
          </w:p>
        </w:tc>
        <w:tc>
          <w:tcPr>
            <w:tcW w:w="0" w:type="auto"/>
            <w:gridSpan w:val="2"/>
            <w:tcBorders>
              <w:top w:val="single" w:sz="4" w:space="0" w:color="000000"/>
              <w:bottom w:val="single" w:sz="12" w:space="0" w:color="000000"/>
            </w:tcBorders>
            <w:tcMar>
              <w:top w:w="0" w:type="dxa"/>
              <w:left w:w="115" w:type="dxa"/>
              <w:bottom w:w="0" w:type="dxa"/>
              <w:right w:w="115" w:type="dxa"/>
            </w:tcMar>
            <w:vAlign w:val="bottom"/>
            <w:hideMark/>
          </w:tcPr>
          <w:p w14:paraId="1239CC5B"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t xml:space="preserve">                 підпис:</w:t>
            </w:r>
          </w:p>
        </w:tc>
        <w:tc>
          <w:tcPr>
            <w:tcW w:w="2995" w:type="dxa"/>
            <w:gridSpan w:val="4"/>
            <w:tcBorders>
              <w:bottom w:val="single" w:sz="12" w:space="0" w:color="000000"/>
            </w:tcBorders>
            <w:tcMar>
              <w:top w:w="0" w:type="dxa"/>
              <w:left w:w="115" w:type="dxa"/>
              <w:bottom w:w="0" w:type="dxa"/>
              <w:right w:w="115" w:type="dxa"/>
            </w:tcMar>
            <w:vAlign w:val="bottom"/>
            <w:hideMark/>
          </w:tcPr>
          <w:p w14:paraId="4E61887D" w14:textId="77777777" w:rsidR="00A16A5A" w:rsidRPr="006D067E" w:rsidRDefault="00A16A5A" w:rsidP="00675C04">
            <w:pPr>
              <w:spacing w:line="240" w:lineRule="auto"/>
              <w:rPr>
                <w:rFonts w:ascii="Times New Roman" w:hAnsi="Times New Roman" w:cs="Times New Roman"/>
                <w:sz w:val="18"/>
                <w:szCs w:val="18"/>
                <w:lang w:val="ru-RU"/>
              </w:rPr>
            </w:pPr>
            <w:r w:rsidRPr="006D067E">
              <w:rPr>
                <w:rFonts w:ascii="Times New Roman" w:hAnsi="Times New Roman" w:cs="Times New Roman"/>
                <w:sz w:val="18"/>
                <w:szCs w:val="18"/>
                <w:lang w:val="ru-RU"/>
              </w:rPr>
              <w:br/>
            </w:r>
          </w:p>
        </w:tc>
      </w:tr>
    </w:tbl>
    <w:p w14:paraId="3162BCBB" w14:textId="29B4D168" w:rsidR="000C07A8" w:rsidRPr="006D067E" w:rsidRDefault="00A16A5A" w:rsidP="00675C04">
      <w:pPr>
        <w:spacing w:line="240" w:lineRule="auto"/>
        <w:rPr>
          <w:rFonts w:ascii="Times New Roman" w:hAnsi="Times New Roman" w:cs="Times New Roman"/>
          <w:sz w:val="18"/>
          <w:szCs w:val="18"/>
        </w:rPr>
      </w:pPr>
      <w:r w:rsidRPr="006D067E">
        <w:rPr>
          <w:rFonts w:ascii="Times New Roman" w:hAnsi="Times New Roman" w:cs="Times New Roman"/>
          <w:sz w:val="18"/>
          <w:szCs w:val="18"/>
          <w:lang w:val="ru-RU"/>
        </w:rPr>
        <w:br/>
      </w:r>
      <w:r w:rsidRPr="006D067E">
        <w:rPr>
          <w:rFonts w:ascii="Times New Roman" w:hAnsi="Times New Roman" w:cs="Times New Roman"/>
          <w:sz w:val="18"/>
          <w:szCs w:val="18"/>
          <w:lang w:val="ru-RU"/>
        </w:rPr>
        <w:br/>
      </w:r>
    </w:p>
    <w:sectPr w:rsidR="000C07A8" w:rsidRPr="006D067E" w:rsidSect="0016257D">
      <w:footerReference w:type="default" r:id="rId7"/>
      <w:pgSz w:w="12240" w:h="15840"/>
      <w:pgMar w:top="709" w:right="616" w:bottom="56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865F7" w14:textId="77777777" w:rsidR="00DC477C" w:rsidRDefault="00DC477C" w:rsidP="0016257D">
      <w:pPr>
        <w:spacing w:after="0" w:line="240" w:lineRule="auto"/>
      </w:pPr>
      <w:r>
        <w:separator/>
      </w:r>
    </w:p>
  </w:endnote>
  <w:endnote w:type="continuationSeparator" w:id="0">
    <w:p w14:paraId="588EF8E0" w14:textId="77777777" w:rsidR="00DC477C" w:rsidRDefault="00DC477C" w:rsidP="0016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38063"/>
      <w:docPartObj>
        <w:docPartGallery w:val="Page Numbers (Bottom of Page)"/>
        <w:docPartUnique/>
      </w:docPartObj>
    </w:sdtPr>
    <w:sdtContent>
      <w:p w14:paraId="6492D8F2" w14:textId="52AAB566" w:rsidR="0016257D" w:rsidRDefault="0016257D">
        <w:pPr>
          <w:pStyle w:val="af"/>
          <w:jc w:val="right"/>
        </w:pPr>
        <w:r>
          <w:fldChar w:fldCharType="begin"/>
        </w:r>
        <w:r>
          <w:instrText>PAGE   \* MERGEFORMAT</w:instrText>
        </w:r>
        <w:r>
          <w:fldChar w:fldCharType="separate"/>
        </w:r>
        <w:r>
          <w:rPr>
            <w:lang w:val="ru-RU"/>
          </w:rPr>
          <w:t>2</w:t>
        </w:r>
        <w:r>
          <w:fldChar w:fldCharType="end"/>
        </w:r>
      </w:p>
    </w:sdtContent>
  </w:sdt>
  <w:p w14:paraId="7DEE7B0A" w14:textId="77777777" w:rsidR="0016257D" w:rsidRDefault="0016257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F5B88" w14:textId="77777777" w:rsidR="00DC477C" w:rsidRDefault="00DC477C" w:rsidP="0016257D">
      <w:pPr>
        <w:spacing w:after="0" w:line="240" w:lineRule="auto"/>
      </w:pPr>
      <w:r>
        <w:separator/>
      </w:r>
    </w:p>
  </w:footnote>
  <w:footnote w:type="continuationSeparator" w:id="0">
    <w:p w14:paraId="2E6363BA" w14:textId="77777777" w:rsidR="00DC477C" w:rsidRDefault="00DC477C" w:rsidP="00162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7D8"/>
    <w:multiLevelType w:val="multilevel"/>
    <w:tmpl w:val="CC5208A2"/>
    <w:lvl w:ilvl="0">
      <w:start w:val="4"/>
      <w:numFmt w:val="decimal"/>
      <w:lvlText w:val="%1"/>
      <w:lvlJc w:val="left"/>
      <w:pPr>
        <w:ind w:left="444" w:hanging="444"/>
      </w:pPr>
      <w:rPr>
        <w:rFonts w:hint="default"/>
      </w:rPr>
    </w:lvl>
    <w:lvl w:ilvl="1">
      <w:start w:val="9"/>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D47471"/>
    <w:multiLevelType w:val="multilevel"/>
    <w:tmpl w:val="DD36DCA4"/>
    <w:lvl w:ilvl="0">
      <w:start w:val="4"/>
      <w:numFmt w:val="decimal"/>
      <w:lvlText w:val="%1"/>
      <w:lvlJc w:val="left"/>
      <w:pPr>
        <w:ind w:left="552" w:hanging="552"/>
      </w:pPr>
      <w:rPr>
        <w:rFonts w:hint="default"/>
      </w:rPr>
    </w:lvl>
    <w:lvl w:ilvl="1">
      <w:start w:val="10"/>
      <w:numFmt w:val="decimal"/>
      <w:lvlText w:val="%1.%2"/>
      <w:lvlJc w:val="left"/>
      <w:pPr>
        <w:ind w:left="552" w:hanging="55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0208EE"/>
    <w:multiLevelType w:val="multilevel"/>
    <w:tmpl w:val="7966E2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E32B3"/>
    <w:multiLevelType w:val="multilevel"/>
    <w:tmpl w:val="99C0FF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7E3AD1"/>
    <w:multiLevelType w:val="multilevel"/>
    <w:tmpl w:val="2E9EC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9331C"/>
    <w:multiLevelType w:val="multilevel"/>
    <w:tmpl w:val="E70095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5D1CCE"/>
    <w:multiLevelType w:val="multilevel"/>
    <w:tmpl w:val="5F6AB9F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FEA4ECA"/>
    <w:multiLevelType w:val="multilevel"/>
    <w:tmpl w:val="CC18600E"/>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E3700C"/>
    <w:multiLevelType w:val="hybridMultilevel"/>
    <w:tmpl w:val="AC222F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84E3457"/>
    <w:multiLevelType w:val="multilevel"/>
    <w:tmpl w:val="75BC3C5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F67691"/>
    <w:multiLevelType w:val="multilevel"/>
    <w:tmpl w:val="75BC3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9B4E5A"/>
    <w:multiLevelType w:val="multilevel"/>
    <w:tmpl w:val="20BC3E82"/>
    <w:lvl w:ilvl="0">
      <w:start w:val="4"/>
      <w:numFmt w:val="decimal"/>
      <w:lvlText w:val="%1."/>
      <w:lvlJc w:val="left"/>
      <w:pPr>
        <w:ind w:left="612" w:hanging="612"/>
      </w:pPr>
      <w:rPr>
        <w:rFonts w:hint="default"/>
      </w:rPr>
    </w:lvl>
    <w:lvl w:ilvl="1">
      <w:start w:val="1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2B0191"/>
    <w:multiLevelType w:val="multilevel"/>
    <w:tmpl w:val="90CA32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E145DF"/>
    <w:multiLevelType w:val="multilevel"/>
    <w:tmpl w:val="5F8E6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971113"/>
    <w:multiLevelType w:val="multilevel"/>
    <w:tmpl w:val="72C6AB8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88220F"/>
    <w:multiLevelType w:val="multilevel"/>
    <w:tmpl w:val="C9C07948"/>
    <w:lvl w:ilvl="0">
      <w:start w:val="4"/>
      <w:numFmt w:val="decimal"/>
      <w:lvlText w:val="%1."/>
      <w:lvlJc w:val="left"/>
      <w:pPr>
        <w:ind w:left="504" w:hanging="504"/>
      </w:pPr>
      <w:rPr>
        <w:rFonts w:hint="default"/>
      </w:rPr>
    </w:lvl>
    <w:lvl w:ilvl="1">
      <w:start w:val="9"/>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6D0CEC"/>
    <w:multiLevelType w:val="multilevel"/>
    <w:tmpl w:val="EABE28BE"/>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64654501">
    <w:abstractNumId w:val="4"/>
    <w:lvlOverride w:ilvl="0">
      <w:lvl w:ilvl="0">
        <w:numFmt w:val="decimal"/>
        <w:lvlText w:val="%1."/>
        <w:lvlJc w:val="left"/>
      </w:lvl>
    </w:lvlOverride>
  </w:num>
  <w:num w:numId="2" w16cid:durableId="451674723">
    <w:abstractNumId w:val="13"/>
  </w:num>
  <w:num w:numId="3" w16cid:durableId="819620279">
    <w:abstractNumId w:val="14"/>
    <w:lvlOverride w:ilvl="0">
      <w:lvl w:ilvl="0">
        <w:numFmt w:val="decimal"/>
        <w:lvlText w:val="%1."/>
        <w:lvlJc w:val="left"/>
      </w:lvl>
    </w:lvlOverride>
  </w:num>
  <w:num w:numId="4" w16cid:durableId="1981493168">
    <w:abstractNumId w:val="9"/>
  </w:num>
  <w:num w:numId="5" w16cid:durableId="1416628789">
    <w:abstractNumId w:val="5"/>
  </w:num>
  <w:num w:numId="6" w16cid:durableId="6565067">
    <w:abstractNumId w:val="0"/>
  </w:num>
  <w:num w:numId="7" w16cid:durableId="387919455">
    <w:abstractNumId w:val="15"/>
  </w:num>
  <w:num w:numId="8" w16cid:durableId="413550875">
    <w:abstractNumId w:val="1"/>
  </w:num>
  <w:num w:numId="9" w16cid:durableId="704600524">
    <w:abstractNumId w:val="16"/>
  </w:num>
  <w:num w:numId="10" w16cid:durableId="352927206">
    <w:abstractNumId w:val="11"/>
  </w:num>
  <w:num w:numId="11" w16cid:durableId="2004122457">
    <w:abstractNumId w:val="6"/>
  </w:num>
  <w:num w:numId="12" w16cid:durableId="1337876412">
    <w:abstractNumId w:val="2"/>
  </w:num>
  <w:num w:numId="13" w16cid:durableId="416633753">
    <w:abstractNumId w:val="3"/>
  </w:num>
  <w:num w:numId="14" w16cid:durableId="2095123828">
    <w:abstractNumId w:val="8"/>
  </w:num>
  <w:num w:numId="15" w16cid:durableId="1480995296">
    <w:abstractNumId w:val="10"/>
  </w:num>
  <w:num w:numId="16" w16cid:durableId="625351928">
    <w:abstractNumId w:val="12"/>
  </w:num>
  <w:num w:numId="17" w16cid:durableId="205973807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71"/>
    <w:rsid w:val="00047F49"/>
    <w:rsid w:val="0008204B"/>
    <w:rsid w:val="000C07A8"/>
    <w:rsid w:val="0016257D"/>
    <w:rsid w:val="0037196E"/>
    <w:rsid w:val="004F09D8"/>
    <w:rsid w:val="004F1B17"/>
    <w:rsid w:val="00590B6D"/>
    <w:rsid w:val="005D41C8"/>
    <w:rsid w:val="00675C04"/>
    <w:rsid w:val="006D067E"/>
    <w:rsid w:val="00773E8B"/>
    <w:rsid w:val="007771E3"/>
    <w:rsid w:val="007A5C7C"/>
    <w:rsid w:val="007F51DB"/>
    <w:rsid w:val="00905ED8"/>
    <w:rsid w:val="009333F5"/>
    <w:rsid w:val="00982B22"/>
    <w:rsid w:val="0098676F"/>
    <w:rsid w:val="009A1F97"/>
    <w:rsid w:val="009F133D"/>
    <w:rsid w:val="00A16A5A"/>
    <w:rsid w:val="00B42A4F"/>
    <w:rsid w:val="00B83742"/>
    <w:rsid w:val="00BC1FB4"/>
    <w:rsid w:val="00BC5D08"/>
    <w:rsid w:val="00C00F7C"/>
    <w:rsid w:val="00D765FF"/>
    <w:rsid w:val="00DC477C"/>
    <w:rsid w:val="00EE7771"/>
    <w:rsid w:val="00F84879"/>
    <w:rsid w:val="00FA55A7"/>
    <w:rsid w:val="00FC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18239"/>
  <w15:chartTrackingRefBased/>
  <w15:docId w15:val="{5EA2124A-786B-4625-B9F8-91F4E6A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77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E77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E77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E77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E77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E77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77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77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77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7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77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77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77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77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77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7771"/>
    <w:rPr>
      <w:rFonts w:eastAsiaTheme="majorEastAsia" w:cstheme="majorBidi"/>
      <w:color w:val="595959" w:themeColor="text1" w:themeTint="A6"/>
    </w:rPr>
  </w:style>
  <w:style w:type="character" w:customStyle="1" w:styleId="80">
    <w:name w:val="Заголовок 8 Знак"/>
    <w:basedOn w:val="a0"/>
    <w:link w:val="8"/>
    <w:uiPriority w:val="9"/>
    <w:semiHidden/>
    <w:rsid w:val="00EE77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7771"/>
    <w:rPr>
      <w:rFonts w:eastAsiaTheme="majorEastAsia" w:cstheme="majorBidi"/>
      <w:color w:val="272727" w:themeColor="text1" w:themeTint="D8"/>
    </w:rPr>
  </w:style>
  <w:style w:type="paragraph" w:styleId="a3">
    <w:name w:val="Title"/>
    <w:basedOn w:val="a"/>
    <w:next w:val="a"/>
    <w:link w:val="a4"/>
    <w:uiPriority w:val="10"/>
    <w:qFormat/>
    <w:rsid w:val="00EE7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7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77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7771"/>
    <w:pPr>
      <w:spacing w:before="160"/>
      <w:jc w:val="center"/>
    </w:pPr>
    <w:rPr>
      <w:i/>
      <w:iCs/>
      <w:color w:val="404040" w:themeColor="text1" w:themeTint="BF"/>
    </w:rPr>
  </w:style>
  <w:style w:type="character" w:customStyle="1" w:styleId="22">
    <w:name w:val="Цитата 2 Знак"/>
    <w:basedOn w:val="a0"/>
    <w:link w:val="21"/>
    <w:uiPriority w:val="29"/>
    <w:rsid w:val="00EE7771"/>
    <w:rPr>
      <w:i/>
      <w:iCs/>
      <w:color w:val="404040" w:themeColor="text1" w:themeTint="BF"/>
    </w:rPr>
  </w:style>
  <w:style w:type="paragraph" w:styleId="a7">
    <w:name w:val="List Paragraph"/>
    <w:basedOn w:val="a"/>
    <w:uiPriority w:val="34"/>
    <w:qFormat/>
    <w:rsid w:val="00EE7771"/>
    <w:pPr>
      <w:ind w:left="720"/>
      <w:contextualSpacing/>
    </w:pPr>
  </w:style>
  <w:style w:type="character" w:styleId="a8">
    <w:name w:val="Intense Emphasis"/>
    <w:basedOn w:val="a0"/>
    <w:uiPriority w:val="21"/>
    <w:qFormat/>
    <w:rsid w:val="00EE7771"/>
    <w:rPr>
      <w:i/>
      <w:iCs/>
      <w:color w:val="2F5496" w:themeColor="accent1" w:themeShade="BF"/>
    </w:rPr>
  </w:style>
  <w:style w:type="paragraph" w:styleId="a9">
    <w:name w:val="Intense Quote"/>
    <w:basedOn w:val="a"/>
    <w:next w:val="a"/>
    <w:link w:val="aa"/>
    <w:uiPriority w:val="30"/>
    <w:qFormat/>
    <w:rsid w:val="00EE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E7771"/>
    <w:rPr>
      <w:i/>
      <w:iCs/>
      <w:color w:val="2F5496" w:themeColor="accent1" w:themeShade="BF"/>
    </w:rPr>
  </w:style>
  <w:style w:type="character" w:styleId="ab">
    <w:name w:val="Intense Reference"/>
    <w:basedOn w:val="a0"/>
    <w:uiPriority w:val="32"/>
    <w:qFormat/>
    <w:rsid w:val="00EE7771"/>
    <w:rPr>
      <w:b/>
      <w:bCs/>
      <w:smallCaps/>
      <w:color w:val="2F5496" w:themeColor="accent1" w:themeShade="BF"/>
      <w:spacing w:val="5"/>
    </w:rPr>
  </w:style>
  <w:style w:type="paragraph" w:styleId="ac">
    <w:name w:val="No Spacing"/>
    <w:uiPriority w:val="1"/>
    <w:qFormat/>
    <w:rsid w:val="009F133D"/>
    <w:pPr>
      <w:spacing w:after="0" w:line="240" w:lineRule="auto"/>
    </w:pPr>
  </w:style>
  <w:style w:type="paragraph" w:styleId="ad">
    <w:name w:val="header"/>
    <w:basedOn w:val="a"/>
    <w:link w:val="ae"/>
    <w:uiPriority w:val="99"/>
    <w:unhideWhenUsed/>
    <w:rsid w:val="0016257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6257D"/>
  </w:style>
  <w:style w:type="paragraph" w:styleId="af">
    <w:name w:val="footer"/>
    <w:basedOn w:val="a"/>
    <w:link w:val="af0"/>
    <w:uiPriority w:val="99"/>
    <w:unhideWhenUsed/>
    <w:rsid w:val="0016257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62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9755">
      <w:bodyDiv w:val="1"/>
      <w:marLeft w:val="0"/>
      <w:marRight w:val="0"/>
      <w:marTop w:val="0"/>
      <w:marBottom w:val="0"/>
      <w:divBdr>
        <w:top w:val="none" w:sz="0" w:space="0" w:color="auto"/>
        <w:left w:val="none" w:sz="0" w:space="0" w:color="auto"/>
        <w:bottom w:val="none" w:sz="0" w:space="0" w:color="auto"/>
        <w:right w:val="none" w:sz="0" w:space="0" w:color="auto"/>
      </w:divBdr>
    </w:div>
    <w:div w:id="142744124">
      <w:bodyDiv w:val="1"/>
      <w:marLeft w:val="0"/>
      <w:marRight w:val="0"/>
      <w:marTop w:val="0"/>
      <w:marBottom w:val="0"/>
      <w:divBdr>
        <w:top w:val="none" w:sz="0" w:space="0" w:color="auto"/>
        <w:left w:val="none" w:sz="0" w:space="0" w:color="auto"/>
        <w:bottom w:val="none" w:sz="0" w:space="0" w:color="auto"/>
        <w:right w:val="none" w:sz="0" w:space="0" w:color="auto"/>
      </w:divBdr>
    </w:div>
    <w:div w:id="195119245">
      <w:bodyDiv w:val="1"/>
      <w:marLeft w:val="0"/>
      <w:marRight w:val="0"/>
      <w:marTop w:val="0"/>
      <w:marBottom w:val="0"/>
      <w:divBdr>
        <w:top w:val="none" w:sz="0" w:space="0" w:color="auto"/>
        <w:left w:val="none" w:sz="0" w:space="0" w:color="auto"/>
        <w:bottom w:val="none" w:sz="0" w:space="0" w:color="auto"/>
        <w:right w:val="none" w:sz="0" w:space="0" w:color="auto"/>
      </w:divBdr>
    </w:div>
    <w:div w:id="349725984">
      <w:bodyDiv w:val="1"/>
      <w:marLeft w:val="0"/>
      <w:marRight w:val="0"/>
      <w:marTop w:val="0"/>
      <w:marBottom w:val="0"/>
      <w:divBdr>
        <w:top w:val="none" w:sz="0" w:space="0" w:color="auto"/>
        <w:left w:val="none" w:sz="0" w:space="0" w:color="auto"/>
        <w:bottom w:val="none" w:sz="0" w:space="0" w:color="auto"/>
        <w:right w:val="none" w:sz="0" w:space="0" w:color="auto"/>
      </w:divBdr>
    </w:div>
    <w:div w:id="487988536">
      <w:bodyDiv w:val="1"/>
      <w:marLeft w:val="0"/>
      <w:marRight w:val="0"/>
      <w:marTop w:val="0"/>
      <w:marBottom w:val="0"/>
      <w:divBdr>
        <w:top w:val="none" w:sz="0" w:space="0" w:color="auto"/>
        <w:left w:val="none" w:sz="0" w:space="0" w:color="auto"/>
        <w:bottom w:val="none" w:sz="0" w:space="0" w:color="auto"/>
        <w:right w:val="none" w:sz="0" w:space="0" w:color="auto"/>
      </w:divBdr>
    </w:div>
    <w:div w:id="615529820">
      <w:bodyDiv w:val="1"/>
      <w:marLeft w:val="0"/>
      <w:marRight w:val="0"/>
      <w:marTop w:val="0"/>
      <w:marBottom w:val="0"/>
      <w:divBdr>
        <w:top w:val="none" w:sz="0" w:space="0" w:color="auto"/>
        <w:left w:val="none" w:sz="0" w:space="0" w:color="auto"/>
        <w:bottom w:val="none" w:sz="0" w:space="0" w:color="auto"/>
        <w:right w:val="none" w:sz="0" w:space="0" w:color="auto"/>
      </w:divBdr>
      <w:divsChild>
        <w:div w:id="913128037">
          <w:marLeft w:val="137"/>
          <w:marRight w:val="0"/>
          <w:marTop w:val="0"/>
          <w:marBottom w:val="0"/>
          <w:divBdr>
            <w:top w:val="none" w:sz="0" w:space="0" w:color="auto"/>
            <w:left w:val="none" w:sz="0" w:space="0" w:color="auto"/>
            <w:bottom w:val="none" w:sz="0" w:space="0" w:color="auto"/>
            <w:right w:val="none" w:sz="0" w:space="0" w:color="auto"/>
          </w:divBdr>
        </w:div>
        <w:div w:id="420295519">
          <w:marLeft w:val="108"/>
          <w:marRight w:val="0"/>
          <w:marTop w:val="0"/>
          <w:marBottom w:val="0"/>
          <w:divBdr>
            <w:top w:val="none" w:sz="0" w:space="0" w:color="auto"/>
            <w:left w:val="none" w:sz="0" w:space="0" w:color="auto"/>
            <w:bottom w:val="none" w:sz="0" w:space="0" w:color="auto"/>
            <w:right w:val="none" w:sz="0" w:space="0" w:color="auto"/>
          </w:divBdr>
        </w:div>
        <w:div w:id="454252013">
          <w:marLeft w:val="108"/>
          <w:marRight w:val="0"/>
          <w:marTop w:val="0"/>
          <w:marBottom w:val="0"/>
          <w:divBdr>
            <w:top w:val="none" w:sz="0" w:space="0" w:color="auto"/>
            <w:left w:val="none" w:sz="0" w:space="0" w:color="auto"/>
            <w:bottom w:val="none" w:sz="0" w:space="0" w:color="auto"/>
            <w:right w:val="none" w:sz="0" w:space="0" w:color="auto"/>
          </w:divBdr>
        </w:div>
        <w:div w:id="373311081">
          <w:marLeft w:val="108"/>
          <w:marRight w:val="0"/>
          <w:marTop w:val="0"/>
          <w:marBottom w:val="0"/>
          <w:divBdr>
            <w:top w:val="none" w:sz="0" w:space="0" w:color="auto"/>
            <w:left w:val="none" w:sz="0" w:space="0" w:color="auto"/>
            <w:bottom w:val="none" w:sz="0" w:space="0" w:color="auto"/>
            <w:right w:val="none" w:sz="0" w:space="0" w:color="auto"/>
          </w:divBdr>
        </w:div>
        <w:div w:id="1084841961">
          <w:marLeft w:val="108"/>
          <w:marRight w:val="0"/>
          <w:marTop w:val="0"/>
          <w:marBottom w:val="0"/>
          <w:divBdr>
            <w:top w:val="none" w:sz="0" w:space="0" w:color="auto"/>
            <w:left w:val="none" w:sz="0" w:space="0" w:color="auto"/>
            <w:bottom w:val="none" w:sz="0" w:space="0" w:color="auto"/>
            <w:right w:val="none" w:sz="0" w:space="0" w:color="auto"/>
          </w:divBdr>
        </w:div>
        <w:div w:id="1582713294">
          <w:marLeft w:val="108"/>
          <w:marRight w:val="0"/>
          <w:marTop w:val="0"/>
          <w:marBottom w:val="0"/>
          <w:divBdr>
            <w:top w:val="none" w:sz="0" w:space="0" w:color="auto"/>
            <w:left w:val="none" w:sz="0" w:space="0" w:color="auto"/>
            <w:bottom w:val="none" w:sz="0" w:space="0" w:color="auto"/>
            <w:right w:val="none" w:sz="0" w:space="0" w:color="auto"/>
          </w:divBdr>
        </w:div>
        <w:div w:id="2106069985">
          <w:marLeft w:val="108"/>
          <w:marRight w:val="0"/>
          <w:marTop w:val="0"/>
          <w:marBottom w:val="0"/>
          <w:divBdr>
            <w:top w:val="none" w:sz="0" w:space="0" w:color="auto"/>
            <w:left w:val="none" w:sz="0" w:space="0" w:color="auto"/>
            <w:bottom w:val="none" w:sz="0" w:space="0" w:color="auto"/>
            <w:right w:val="none" w:sz="0" w:space="0" w:color="auto"/>
          </w:divBdr>
        </w:div>
      </w:divsChild>
    </w:div>
    <w:div w:id="665979609">
      <w:bodyDiv w:val="1"/>
      <w:marLeft w:val="0"/>
      <w:marRight w:val="0"/>
      <w:marTop w:val="0"/>
      <w:marBottom w:val="0"/>
      <w:divBdr>
        <w:top w:val="none" w:sz="0" w:space="0" w:color="auto"/>
        <w:left w:val="none" w:sz="0" w:space="0" w:color="auto"/>
        <w:bottom w:val="none" w:sz="0" w:space="0" w:color="auto"/>
        <w:right w:val="none" w:sz="0" w:space="0" w:color="auto"/>
      </w:divBdr>
    </w:div>
    <w:div w:id="680661271">
      <w:bodyDiv w:val="1"/>
      <w:marLeft w:val="0"/>
      <w:marRight w:val="0"/>
      <w:marTop w:val="0"/>
      <w:marBottom w:val="0"/>
      <w:divBdr>
        <w:top w:val="none" w:sz="0" w:space="0" w:color="auto"/>
        <w:left w:val="none" w:sz="0" w:space="0" w:color="auto"/>
        <w:bottom w:val="none" w:sz="0" w:space="0" w:color="auto"/>
        <w:right w:val="none" w:sz="0" w:space="0" w:color="auto"/>
      </w:divBdr>
    </w:div>
    <w:div w:id="684750909">
      <w:bodyDiv w:val="1"/>
      <w:marLeft w:val="0"/>
      <w:marRight w:val="0"/>
      <w:marTop w:val="0"/>
      <w:marBottom w:val="0"/>
      <w:divBdr>
        <w:top w:val="none" w:sz="0" w:space="0" w:color="auto"/>
        <w:left w:val="none" w:sz="0" w:space="0" w:color="auto"/>
        <w:bottom w:val="none" w:sz="0" w:space="0" w:color="auto"/>
        <w:right w:val="none" w:sz="0" w:space="0" w:color="auto"/>
      </w:divBdr>
    </w:div>
    <w:div w:id="1027874504">
      <w:bodyDiv w:val="1"/>
      <w:marLeft w:val="0"/>
      <w:marRight w:val="0"/>
      <w:marTop w:val="0"/>
      <w:marBottom w:val="0"/>
      <w:divBdr>
        <w:top w:val="none" w:sz="0" w:space="0" w:color="auto"/>
        <w:left w:val="none" w:sz="0" w:space="0" w:color="auto"/>
        <w:bottom w:val="none" w:sz="0" w:space="0" w:color="auto"/>
        <w:right w:val="none" w:sz="0" w:space="0" w:color="auto"/>
      </w:divBdr>
    </w:div>
    <w:div w:id="1152254159">
      <w:bodyDiv w:val="1"/>
      <w:marLeft w:val="0"/>
      <w:marRight w:val="0"/>
      <w:marTop w:val="0"/>
      <w:marBottom w:val="0"/>
      <w:divBdr>
        <w:top w:val="none" w:sz="0" w:space="0" w:color="auto"/>
        <w:left w:val="none" w:sz="0" w:space="0" w:color="auto"/>
        <w:bottom w:val="none" w:sz="0" w:space="0" w:color="auto"/>
        <w:right w:val="none" w:sz="0" w:space="0" w:color="auto"/>
      </w:divBdr>
    </w:div>
    <w:div w:id="1187060510">
      <w:bodyDiv w:val="1"/>
      <w:marLeft w:val="0"/>
      <w:marRight w:val="0"/>
      <w:marTop w:val="0"/>
      <w:marBottom w:val="0"/>
      <w:divBdr>
        <w:top w:val="none" w:sz="0" w:space="0" w:color="auto"/>
        <w:left w:val="none" w:sz="0" w:space="0" w:color="auto"/>
        <w:bottom w:val="none" w:sz="0" w:space="0" w:color="auto"/>
        <w:right w:val="none" w:sz="0" w:space="0" w:color="auto"/>
      </w:divBdr>
      <w:divsChild>
        <w:div w:id="689381541">
          <w:marLeft w:val="137"/>
          <w:marRight w:val="0"/>
          <w:marTop w:val="0"/>
          <w:marBottom w:val="0"/>
          <w:divBdr>
            <w:top w:val="none" w:sz="0" w:space="0" w:color="auto"/>
            <w:left w:val="none" w:sz="0" w:space="0" w:color="auto"/>
            <w:bottom w:val="none" w:sz="0" w:space="0" w:color="auto"/>
            <w:right w:val="none" w:sz="0" w:space="0" w:color="auto"/>
          </w:divBdr>
        </w:div>
        <w:div w:id="875852998">
          <w:marLeft w:val="108"/>
          <w:marRight w:val="0"/>
          <w:marTop w:val="0"/>
          <w:marBottom w:val="0"/>
          <w:divBdr>
            <w:top w:val="none" w:sz="0" w:space="0" w:color="auto"/>
            <w:left w:val="none" w:sz="0" w:space="0" w:color="auto"/>
            <w:bottom w:val="none" w:sz="0" w:space="0" w:color="auto"/>
            <w:right w:val="none" w:sz="0" w:space="0" w:color="auto"/>
          </w:divBdr>
        </w:div>
        <w:div w:id="936598800">
          <w:marLeft w:val="108"/>
          <w:marRight w:val="0"/>
          <w:marTop w:val="0"/>
          <w:marBottom w:val="0"/>
          <w:divBdr>
            <w:top w:val="none" w:sz="0" w:space="0" w:color="auto"/>
            <w:left w:val="none" w:sz="0" w:space="0" w:color="auto"/>
            <w:bottom w:val="none" w:sz="0" w:space="0" w:color="auto"/>
            <w:right w:val="none" w:sz="0" w:space="0" w:color="auto"/>
          </w:divBdr>
        </w:div>
        <w:div w:id="1206721495">
          <w:marLeft w:val="108"/>
          <w:marRight w:val="0"/>
          <w:marTop w:val="0"/>
          <w:marBottom w:val="0"/>
          <w:divBdr>
            <w:top w:val="none" w:sz="0" w:space="0" w:color="auto"/>
            <w:left w:val="none" w:sz="0" w:space="0" w:color="auto"/>
            <w:bottom w:val="none" w:sz="0" w:space="0" w:color="auto"/>
            <w:right w:val="none" w:sz="0" w:space="0" w:color="auto"/>
          </w:divBdr>
        </w:div>
        <w:div w:id="1887523651">
          <w:marLeft w:val="108"/>
          <w:marRight w:val="0"/>
          <w:marTop w:val="0"/>
          <w:marBottom w:val="0"/>
          <w:divBdr>
            <w:top w:val="none" w:sz="0" w:space="0" w:color="auto"/>
            <w:left w:val="none" w:sz="0" w:space="0" w:color="auto"/>
            <w:bottom w:val="none" w:sz="0" w:space="0" w:color="auto"/>
            <w:right w:val="none" w:sz="0" w:space="0" w:color="auto"/>
          </w:divBdr>
        </w:div>
        <w:div w:id="424615529">
          <w:marLeft w:val="108"/>
          <w:marRight w:val="0"/>
          <w:marTop w:val="0"/>
          <w:marBottom w:val="0"/>
          <w:divBdr>
            <w:top w:val="none" w:sz="0" w:space="0" w:color="auto"/>
            <w:left w:val="none" w:sz="0" w:space="0" w:color="auto"/>
            <w:bottom w:val="none" w:sz="0" w:space="0" w:color="auto"/>
            <w:right w:val="none" w:sz="0" w:space="0" w:color="auto"/>
          </w:divBdr>
        </w:div>
        <w:div w:id="550043883">
          <w:marLeft w:val="108"/>
          <w:marRight w:val="0"/>
          <w:marTop w:val="0"/>
          <w:marBottom w:val="0"/>
          <w:divBdr>
            <w:top w:val="none" w:sz="0" w:space="0" w:color="auto"/>
            <w:left w:val="none" w:sz="0" w:space="0" w:color="auto"/>
            <w:bottom w:val="none" w:sz="0" w:space="0" w:color="auto"/>
            <w:right w:val="none" w:sz="0" w:space="0" w:color="auto"/>
          </w:divBdr>
        </w:div>
      </w:divsChild>
    </w:div>
    <w:div w:id="1413041053">
      <w:bodyDiv w:val="1"/>
      <w:marLeft w:val="0"/>
      <w:marRight w:val="0"/>
      <w:marTop w:val="0"/>
      <w:marBottom w:val="0"/>
      <w:divBdr>
        <w:top w:val="none" w:sz="0" w:space="0" w:color="auto"/>
        <w:left w:val="none" w:sz="0" w:space="0" w:color="auto"/>
        <w:bottom w:val="none" w:sz="0" w:space="0" w:color="auto"/>
        <w:right w:val="none" w:sz="0" w:space="0" w:color="auto"/>
      </w:divBdr>
    </w:div>
    <w:div w:id="185187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18</Pages>
  <Words>10001</Words>
  <Characters>57006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2025-03-10T11:47:00Z</dcterms:created>
  <dcterms:modified xsi:type="dcterms:W3CDTF">2025-03-26T17:19:00Z</dcterms:modified>
</cp:coreProperties>
</file>