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34FC1" w14:textId="77777777" w:rsidR="00825B43" w:rsidRPr="007C00BE" w:rsidRDefault="00825B43" w:rsidP="00825B43">
      <w:pPr>
        <w:pStyle w:val="a7"/>
        <w:ind w:left="5103"/>
        <w:rPr>
          <w:rFonts w:ascii="Times New Roman" w:hAnsi="Times New Roman" w:cs="Times New Roman"/>
          <w:b/>
          <w:bCs/>
          <w:lang w:val="ru-RU"/>
        </w:rPr>
      </w:pPr>
      <w:r w:rsidRPr="007C00BE">
        <w:rPr>
          <w:rFonts w:ascii="Times New Roman" w:hAnsi="Times New Roman" w:cs="Times New Roman"/>
          <w:b/>
          <w:bCs/>
          <w:lang w:val="ru-RU"/>
        </w:rPr>
        <w:t>«ЗАТВЕРДЖЕНО»</w:t>
      </w:r>
    </w:p>
    <w:p w14:paraId="63A77FC5" w14:textId="77777777" w:rsidR="00825B43" w:rsidRPr="007C00BE" w:rsidRDefault="00825B43" w:rsidP="00825B43">
      <w:pPr>
        <w:pStyle w:val="a7"/>
        <w:ind w:left="5103"/>
        <w:rPr>
          <w:rFonts w:ascii="Times New Roman" w:hAnsi="Times New Roman" w:cs="Times New Roman"/>
          <w:b/>
          <w:bCs/>
          <w:lang w:val="ru-RU"/>
        </w:rPr>
      </w:pPr>
      <w:r w:rsidRPr="007C00BE">
        <w:rPr>
          <w:rFonts w:ascii="Times New Roman" w:hAnsi="Times New Roman" w:cs="Times New Roman"/>
          <w:b/>
          <w:bCs/>
          <w:lang w:val="ru-RU"/>
        </w:rPr>
        <w:t>Директор</w:t>
      </w:r>
    </w:p>
    <w:p w14:paraId="2BDD8E8C" w14:textId="77777777" w:rsidR="00825B43" w:rsidRPr="007C00BE" w:rsidRDefault="00825B43" w:rsidP="00825B43">
      <w:pPr>
        <w:pStyle w:val="a7"/>
        <w:ind w:left="5103"/>
        <w:rPr>
          <w:rFonts w:ascii="Times New Roman" w:hAnsi="Times New Roman" w:cs="Times New Roman"/>
          <w:b/>
          <w:bCs/>
          <w:lang w:val="ru-RU"/>
        </w:rPr>
      </w:pPr>
      <w:r w:rsidRPr="007C00BE">
        <w:rPr>
          <w:rFonts w:ascii="Times New Roman" w:hAnsi="Times New Roman" w:cs="Times New Roman"/>
          <w:b/>
          <w:bCs/>
          <w:lang w:val="ru-RU"/>
        </w:rPr>
        <w:t xml:space="preserve">ТОВ «ПРДТ ФОНДОВИЙ ЦЕНТР»   </w:t>
      </w:r>
    </w:p>
    <w:p w14:paraId="6DB24C80" w14:textId="77777777" w:rsidR="00825B43" w:rsidRPr="007C00BE" w:rsidRDefault="00825B43" w:rsidP="00825B43">
      <w:pPr>
        <w:pStyle w:val="a7"/>
        <w:ind w:left="5103"/>
        <w:rPr>
          <w:rFonts w:ascii="Times New Roman" w:hAnsi="Times New Roman" w:cs="Times New Roman"/>
          <w:b/>
          <w:bCs/>
          <w:lang w:val="ru-RU"/>
        </w:rPr>
      </w:pPr>
      <w:r w:rsidRPr="007C00BE">
        <w:rPr>
          <w:rFonts w:ascii="Times New Roman" w:hAnsi="Times New Roman" w:cs="Times New Roman"/>
          <w:b/>
          <w:bCs/>
          <w:lang w:val="ru-RU"/>
        </w:rPr>
        <w:t>Голопотелюк О. В.</w:t>
      </w:r>
    </w:p>
    <w:p w14:paraId="6C2DBAD1" w14:textId="77777777" w:rsidR="00825B43" w:rsidRPr="007C00BE" w:rsidRDefault="00825B43" w:rsidP="00825B43">
      <w:pPr>
        <w:pStyle w:val="a7"/>
        <w:ind w:left="5103"/>
        <w:rPr>
          <w:rFonts w:ascii="Times New Roman" w:hAnsi="Times New Roman" w:cs="Times New Roman"/>
          <w:b/>
          <w:bCs/>
          <w:lang w:val="ru-RU"/>
        </w:rPr>
      </w:pPr>
    </w:p>
    <w:p w14:paraId="3164C88E" w14:textId="77777777" w:rsidR="00825B43" w:rsidRPr="00CD29E3" w:rsidRDefault="00825B43" w:rsidP="00825B43">
      <w:pPr>
        <w:pStyle w:val="a7"/>
        <w:ind w:left="5103"/>
        <w:rPr>
          <w:rFonts w:ascii="Times New Roman" w:hAnsi="Times New Roman" w:cs="Times New Roman"/>
          <w:b/>
          <w:bCs/>
          <w:lang w:val="ru-RU"/>
        </w:rPr>
      </w:pPr>
      <w:r w:rsidRPr="00CD29E3">
        <w:rPr>
          <w:rFonts w:ascii="Times New Roman" w:hAnsi="Times New Roman" w:cs="Times New Roman"/>
          <w:b/>
          <w:bCs/>
          <w:lang w:val="ru-RU"/>
        </w:rPr>
        <w:t>_______________</w:t>
      </w:r>
    </w:p>
    <w:p w14:paraId="457410E4" w14:textId="77777777" w:rsidR="0081371A" w:rsidRPr="00CD29E3" w:rsidRDefault="0081371A" w:rsidP="0081371A">
      <w:pPr>
        <w:pStyle w:val="a7"/>
        <w:ind w:left="5103"/>
        <w:rPr>
          <w:rFonts w:ascii="Times New Roman" w:hAnsi="Times New Roman" w:cs="Times New Roman"/>
          <w:b/>
          <w:bCs/>
          <w:lang w:val="ru-RU"/>
        </w:rPr>
      </w:pPr>
      <w:r w:rsidRPr="00CD29E3">
        <w:rPr>
          <w:rFonts w:ascii="Times New Roman" w:hAnsi="Times New Roman" w:cs="Times New Roman"/>
          <w:b/>
          <w:bCs/>
          <w:lang w:val="ru-RU"/>
        </w:rPr>
        <w:t xml:space="preserve">Наказ № </w:t>
      </w:r>
      <w:r>
        <w:rPr>
          <w:rFonts w:ascii="Times New Roman" w:hAnsi="Times New Roman" w:cs="Times New Roman"/>
          <w:b/>
          <w:bCs/>
          <w:lang w:val="ru-RU"/>
        </w:rPr>
        <w:t>2</w:t>
      </w:r>
      <w:r w:rsidRPr="00CD29E3">
        <w:rPr>
          <w:rFonts w:ascii="Times New Roman" w:hAnsi="Times New Roman" w:cs="Times New Roman"/>
          <w:b/>
          <w:bCs/>
          <w:lang w:val="ru-RU"/>
        </w:rPr>
        <w:t xml:space="preserve"> від « </w:t>
      </w:r>
      <w:r>
        <w:rPr>
          <w:rFonts w:ascii="Times New Roman" w:hAnsi="Times New Roman" w:cs="Times New Roman"/>
          <w:b/>
          <w:bCs/>
          <w:lang w:val="ru-RU"/>
        </w:rPr>
        <w:t>10</w:t>
      </w:r>
      <w:r w:rsidRPr="00CD29E3">
        <w:rPr>
          <w:rFonts w:ascii="Times New Roman" w:hAnsi="Times New Roman" w:cs="Times New Roman"/>
          <w:b/>
          <w:bCs/>
          <w:lang w:val="ru-RU"/>
        </w:rPr>
        <w:t xml:space="preserve"> » </w:t>
      </w:r>
      <w:r>
        <w:rPr>
          <w:rFonts w:ascii="Times New Roman" w:hAnsi="Times New Roman" w:cs="Times New Roman"/>
          <w:b/>
          <w:bCs/>
          <w:lang w:val="ru-RU"/>
        </w:rPr>
        <w:t>лю</w:t>
      </w:r>
      <w:r>
        <w:rPr>
          <w:rFonts w:ascii="Times New Roman" w:hAnsi="Times New Roman" w:cs="Times New Roman"/>
          <w:b/>
          <w:bCs/>
          <w:lang w:val="uk-UA"/>
        </w:rPr>
        <w:t>того</w:t>
      </w:r>
      <w:r w:rsidRPr="00CD29E3">
        <w:rPr>
          <w:rFonts w:ascii="Times New Roman" w:hAnsi="Times New Roman" w:cs="Times New Roman"/>
          <w:b/>
          <w:bCs/>
          <w:lang w:val="ru-RU"/>
        </w:rPr>
        <w:t xml:space="preserve"> 202</w:t>
      </w:r>
      <w:r>
        <w:rPr>
          <w:rFonts w:ascii="Times New Roman" w:hAnsi="Times New Roman" w:cs="Times New Roman"/>
          <w:b/>
          <w:bCs/>
          <w:lang w:val="ru-RU"/>
        </w:rPr>
        <w:t>5</w:t>
      </w:r>
      <w:r w:rsidRPr="00CD29E3">
        <w:rPr>
          <w:rFonts w:ascii="Times New Roman" w:hAnsi="Times New Roman" w:cs="Times New Roman"/>
          <w:b/>
          <w:bCs/>
          <w:lang w:val="ru-RU"/>
        </w:rPr>
        <w:t xml:space="preserve"> р.                                                                                                 Вводиться в дію з </w:t>
      </w:r>
      <w:r>
        <w:rPr>
          <w:rFonts w:ascii="Times New Roman" w:hAnsi="Times New Roman" w:cs="Times New Roman"/>
          <w:b/>
          <w:bCs/>
          <w:lang w:val="ru-RU"/>
        </w:rPr>
        <w:t>« 10</w:t>
      </w:r>
      <w:r w:rsidRPr="00CD29E3">
        <w:rPr>
          <w:rFonts w:ascii="Times New Roman" w:hAnsi="Times New Roman" w:cs="Times New Roman"/>
          <w:b/>
          <w:bCs/>
          <w:lang w:val="ru-RU"/>
        </w:rPr>
        <w:t xml:space="preserve"> » </w:t>
      </w:r>
      <w:r>
        <w:rPr>
          <w:rFonts w:ascii="Times New Roman" w:hAnsi="Times New Roman" w:cs="Times New Roman"/>
          <w:b/>
          <w:bCs/>
          <w:lang w:val="ru-RU"/>
        </w:rPr>
        <w:t>лю</w:t>
      </w:r>
      <w:r>
        <w:rPr>
          <w:rFonts w:ascii="Times New Roman" w:hAnsi="Times New Roman" w:cs="Times New Roman"/>
          <w:b/>
          <w:bCs/>
          <w:lang w:val="uk-UA"/>
        </w:rPr>
        <w:t>того</w:t>
      </w:r>
      <w:r w:rsidRPr="00CD29E3">
        <w:rPr>
          <w:rFonts w:ascii="Times New Roman" w:hAnsi="Times New Roman" w:cs="Times New Roman"/>
          <w:b/>
          <w:bCs/>
          <w:lang w:val="ru-RU"/>
        </w:rPr>
        <w:t xml:space="preserve"> 202</w:t>
      </w:r>
      <w:r>
        <w:rPr>
          <w:rFonts w:ascii="Times New Roman" w:hAnsi="Times New Roman" w:cs="Times New Roman"/>
          <w:b/>
          <w:bCs/>
          <w:lang w:val="ru-RU"/>
        </w:rPr>
        <w:t>5</w:t>
      </w:r>
      <w:r w:rsidRPr="00CD29E3">
        <w:rPr>
          <w:rFonts w:ascii="Times New Roman" w:hAnsi="Times New Roman" w:cs="Times New Roman"/>
          <w:b/>
          <w:bCs/>
          <w:lang w:val="ru-RU"/>
        </w:rPr>
        <w:t xml:space="preserve"> р.</w:t>
      </w:r>
    </w:p>
    <w:p w14:paraId="6EE1AFE3" w14:textId="77777777" w:rsidR="00825B43" w:rsidRPr="00A16A5A" w:rsidRDefault="00825B43" w:rsidP="00825B43">
      <w:pPr>
        <w:spacing w:line="240" w:lineRule="auto"/>
        <w:rPr>
          <w:rFonts w:ascii="Times New Roman" w:hAnsi="Times New Roman" w:cs="Times New Roman"/>
          <w:lang w:val="ru-RU"/>
        </w:rPr>
      </w:pPr>
    </w:p>
    <w:p w14:paraId="13CCE304" w14:textId="77777777" w:rsidR="006C27C6" w:rsidRPr="006C27C6" w:rsidRDefault="006C27C6" w:rsidP="0051218D">
      <w:pPr>
        <w:spacing w:line="240" w:lineRule="auto"/>
        <w:rPr>
          <w:rFonts w:ascii="Times New Roman" w:hAnsi="Times New Roman" w:cs="Times New Roman"/>
          <w:lang w:val="ru-RU"/>
        </w:rPr>
      </w:pPr>
    </w:p>
    <w:p w14:paraId="362DC487" w14:textId="6B748E4C" w:rsidR="006C27C6" w:rsidRPr="003D5FCD" w:rsidRDefault="006C27C6" w:rsidP="00492B8D">
      <w:pPr>
        <w:spacing w:line="240" w:lineRule="auto"/>
        <w:jc w:val="center"/>
        <w:rPr>
          <w:rFonts w:ascii="Times New Roman" w:hAnsi="Times New Roman" w:cs="Times New Roman"/>
          <w:sz w:val="28"/>
          <w:szCs w:val="28"/>
          <w:lang w:val="ru-RU"/>
        </w:rPr>
      </w:pPr>
      <w:r w:rsidRPr="003D5FCD">
        <w:rPr>
          <w:rFonts w:ascii="Times New Roman" w:hAnsi="Times New Roman" w:cs="Times New Roman"/>
          <w:b/>
          <w:bCs/>
          <w:sz w:val="28"/>
          <w:szCs w:val="28"/>
          <w:lang w:val="ru-RU"/>
        </w:rPr>
        <w:t>ІІІ. Порядок укладання особистих угод</w:t>
      </w:r>
    </w:p>
    <w:p w14:paraId="14D9521A" w14:textId="6F9810F7" w:rsidR="006C27C6" w:rsidRPr="006C27C6" w:rsidRDefault="006C27C6" w:rsidP="00492B8D">
      <w:pPr>
        <w:spacing w:line="240" w:lineRule="auto"/>
        <w:ind w:firstLine="360"/>
        <w:rPr>
          <w:rFonts w:ascii="Times New Roman" w:hAnsi="Times New Roman" w:cs="Times New Roman"/>
          <w:lang w:val="ru-RU"/>
        </w:rPr>
      </w:pPr>
      <w:r w:rsidRPr="006C27C6">
        <w:rPr>
          <w:rFonts w:ascii="Times New Roman" w:hAnsi="Times New Roman" w:cs="Times New Roman"/>
          <w:lang w:val="ru-RU"/>
        </w:rPr>
        <w:t xml:space="preserve">Цей документ є складовою Положення про провадження діяльності з торгівлі фінансовими інструментами в </w:t>
      </w:r>
      <w:r w:rsidR="00492B8D">
        <w:rPr>
          <w:rFonts w:ascii="Times New Roman" w:hAnsi="Times New Roman" w:cs="Times New Roman"/>
          <w:lang w:val="ru-RU"/>
        </w:rPr>
        <w:t xml:space="preserve">ТОВ "ПРДТ ФОНДОВИЙ ЦЕНТР" </w:t>
      </w:r>
      <w:r w:rsidRPr="006C27C6">
        <w:rPr>
          <w:rFonts w:ascii="Times New Roman" w:hAnsi="Times New Roman" w:cs="Times New Roman"/>
          <w:lang w:val="ru-RU"/>
        </w:rPr>
        <w:t>та визначає  порядок укладення особистих угод щодо фінансових документів.</w:t>
      </w:r>
    </w:p>
    <w:p w14:paraId="65B080DE" w14:textId="77777777" w:rsidR="006C27C6" w:rsidRPr="006C27C6" w:rsidRDefault="006C27C6" w:rsidP="0051218D">
      <w:pPr>
        <w:numPr>
          <w:ilvl w:val="0"/>
          <w:numId w:val="9"/>
        </w:numPr>
        <w:spacing w:line="240" w:lineRule="auto"/>
        <w:rPr>
          <w:rFonts w:ascii="Times New Roman" w:hAnsi="Times New Roman" w:cs="Times New Roman"/>
          <w:lang w:val="ru-RU"/>
        </w:rPr>
      </w:pPr>
      <w:r w:rsidRPr="006C27C6">
        <w:rPr>
          <w:rFonts w:ascii="Times New Roman" w:hAnsi="Times New Roman" w:cs="Times New Roman"/>
          <w:lang w:val="ru-RU"/>
        </w:rPr>
        <w:t>Особиста угода - вчинення правочину щодо фінансових інструментів, що проводиться відповідною особою або в її інтересах у будь-якому з таких випадків:</w:t>
      </w:r>
    </w:p>
    <w:p w14:paraId="3F4CC0F4" w14:textId="77777777" w:rsidR="006C27C6" w:rsidRPr="006C27C6" w:rsidRDefault="006C27C6" w:rsidP="0051218D">
      <w:pPr>
        <w:numPr>
          <w:ilvl w:val="0"/>
          <w:numId w:val="10"/>
        </w:numPr>
        <w:spacing w:line="240" w:lineRule="auto"/>
        <w:rPr>
          <w:rFonts w:ascii="Times New Roman" w:hAnsi="Times New Roman" w:cs="Times New Roman"/>
          <w:lang w:val="ru-RU"/>
        </w:rPr>
      </w:pPr>
      <w:r w:rsidRPr="006C27C6">
        <w:rPr>
          <w:rFonts w:ascii="Times New Roman" w:hAnsi="Times New Roman" w:cs="Times New Roman"/>
          <w:lang w:val="ru-RU"/>
        </w:rPr>
        <w:t>вчинення правочину щодо фінансових інструментів провадиться не в рамках виконання такими особами своїх професійних обов’язків;</w:t>
      </w:r>
    </w:p>
    <w:p w14:paraId="7E933797" w14:textId="77777777" w:rsidR="006C27C6" w:rsidRPr="006C27C6" w:rsidRDefault="006C27C6" w:rsidP="0051218D">
      <w:pPr>
        <w:numPr>
          <w:ilvl w:val="0"/>
          <w:numId w:val="10"/>
        </w:numPr>
        <w:spacing w:line="240" w:lineRule="auto"/>
        <w:rPr>
          <w:rFonts w:ascii="Times New Roman" w:hAnsi="Times New Roman" w:cs="Times New Roman"/>
          <w:lang w:val="ru-RU"/>
        </w:rPr>
      </w:pPr>
      <w:r w:rsidRPr="006C27C6">
        <w:rPr>
          <w:rFonts w:ascii="Times New Roman" w:hAnsi="Times New Roman" w:cs="Times New Roman"/>
          <w:lang w:val="ru-RU"/>
        </w:rPr>
        <w:t>операції здійснюється за рахунок будь-якої з наступних осіб:</w:t>
      </w:r>
    </w:p>
    <w:p w14:paraId="70C88BB9" w14:textId="77777777" w:rsidR="006C27C6" w:rsidRPr="006C27C6" w:rsidRDefault="006C27C6" w:rsidP="0051218D">
      <w:pPr>
        <w:numPr>
          <w:ilvl w:val="1"/>
          <w:numId w:val="11"/>
        </w:numPr>
        <w:spacing w:line="240" w:lineRule="auto"/>
        <w:rPr>
          <w:rFonts w:ascii="Times New Roman" w:hAnsi="Times New Roman" w:cs="Times New Roman"/>
          <w:lang w:val="ru-RU"/>
        </w:rPr>
      </w:pPr>
      <w:r w:rsidRPr="006C27C6">
        <w:rPr>
          <w:rFonts w:ascii="Times New Roman" w:hAnsi="Times New Roman" w:cs="Times New Roman"/>
          <w:lang w:val="ru-RU"/>
        </w:rPr>
        <w:t>відповідна особа;</w:t>
      </w:r>
    </w:p>
    <w:p w14:paraId="58A51963" w14:textId="77777777" w:rsidR="006C27C6" w:rsidRPr="006C27C6" w:rsidRDefault="006C27C6" w:rsidP="0051218D">
      <w:pPr>
        <w:numPr>
          <w:ilvl w:val="1"/>
          <w:numId w:val="12"/>
        </w:numPr>
        <w:spacing w:line="240" w:lineRule="auto"/>
        <w:rPr>
          <w:rFonts w:ascii="Times New Roman" w:hAnsi="Times New Roman" w:cs="Times New Roman"/>
          <w:lang w:val="ru-RU"/>
        </w:rPr>
      </w:pPr>
      <w:r w:rsidRPr="006C27C6">
        <w:rPr>
          <w:rFonts w:ascii="Times New Roman" w:hAnsi="Times New Roman" w:cs="Times New Roman"/>
          <w:lang w:val="ru-RU"/>
        </w:rPr>
        <w:t>будь-яка особа, з якою відповідна особа має сімейні стосунки;</w:t>
      </w:r>
    </w:p>
    <w:p w14:paraId="50CBDB6E" w14:textId="77777777" w:rsidR="006C27C6" w:rsidRPr="006C27C6" w:rsidRDefault="006C27C6" w:rsidP="0051218D">
      <w:pPr>
        <w:numPr>
          <w:ilvl w:val="1"/>
          <w:numId w:val="13"/>
        </w:numPr>
        <w:spacing w:line="240" w:lineRule="auto"/>
        <w:rPr>
          <w:rFonts w:ascii="Times New Roman" w:hAnsi="Times New Roman" w:cs="Times New Roman"/>
          <w:lang w:val="ru-RU"/>
        </w:rPr>
      </w:pPr>
      <w:r w:rsidRPr="006C27C6">
        <w:rPr>
          <w:rFonts w:ascii="Times New Roman" w:hAnsi="Times New Roman" w:cs="Times New Roman"/>
          <w:lang w:val="ru-RU"/>
        </w:rPr>
        <w:t>особа, стосовно якої відповідна особа має безпосередню чи опосередковану матеріальну зацікавленість у результаті вчинення правочину, крім отримання комісії за його вчинення;</w:t>
      </w:r>
    </w:p>
    <w:p w14:paraId="37ADFD74" w14:textId="77777777" w:rsidR="006C27C6" w:rsidRPr="006C27C6" w:rsidRDefault="006C27C6" w:rsidP="0051218D">
      <w:pPr>
        <w:numPr>
          <w:ilvl w:val="1"/>
          <w:numId w:val="14"/>
        </w:numPr>
        <w:spacing w:line="240" w:lineRule="auto"/>
        <w:rPr>
          <w:rFonts w:ascii="Times New Roman" w:hAnsi="Times New Roman" w:cs="Times New Roman"/>
          <w:lang w:val="ru-RU"/>
        </w:rPr>
      </w:pPr>
      <w:r w:rsidRPr="006C27C6">
        <w:rPr>
          <w:rFonts w:ascii="Times New Roman" w:hAnsi="Times New Roman" w:cs="Times New Roman"/>
          <w:lang w:val="ru-RU"/>
        </w:rPr>
        <w:t>особи, які здійснюють виконавчі функції (керівництво) - голова та члени колегіального виконавчого органу, особа, що здійснює повноваження одноосібного виконавчого органу, або інша фізична особа, відповідальна за управління поточною діяльністю Інвестиційної фірми, зокрема, відповідальна за реалізацію політики стосовно надання Інвестиційною фірмою послуг клієнтам, та підзвітна з цього питання наглядовій раді;</w:t>
      </w:r>
    </w:p>
    <w:p w14:paraId="28E11399" w14:textId="77777777" w:rsidR="006C27C6" w:rsidRPr="006C27C6" w:rsidRDefault="006C27C6" w:rsidP="0051218D">
      <w:pPr>
        <w:numPr>
          <w:ilvl w:val="1"/>
          <w:numId w:val="15"/>
        </w:numPr>
        <w:spacing w:line="240" w:lineRule="auto"/>
        <w:rPr>
          <w:rFonts w:ascii="Times New Roman" w:hAnsi="Times New Roman" w:cs="Times New Roman"/>
          <w:lang w:val="ru-RU"/>
        </w:rPr>
      </w:pPr>
      <w:r w:rsidRPr="006C27C6">
        <w:rPr>
          <w:rFonts w:ascii="Times New Roman" w:hAnsi="Times New Roman" w:cs="Times New Roman"/>
          <w:lang w:val="ru-RU"/>
        </w:rPr>
        <w:t>особа, з якою відповідна особа має сімейні відносини - будь-яка з перелічених осіб:</w:t>
      </w:r>
    </w:p>
    <w:p w14:paraId="5DB9A0DC" w14:textId="77777777" w:rsidR="006C27C6" w:rsidRPr="006C27C6" w:rsidRDefault="006C27C6" w:rsidP="0051218D">
      <w:pPr>
        <w:numPr>
          <w:ilvl w:val="1"/>
          <w:numId w:val="16"/>
        </w:numPr>
        <w:spacing w:line="240" w:lineRule="auto"/>
        <w:rPr>
          <w:rFonts w:ascii="Times New Roman" w:hAnsi="Times New Roman" w:cs="Times New Roman"/>
          <w:lang w:val="ru-RU"/>
        </w:rPr>
      </w:pPr>
      <w:r w:rsidRPr="006C27C6">
        <w:rPr>
          <w:rFonts w:ascii="Times New Roman" w:hAnsi="Times New Roman" w:cs="Times New Roman"/>
          <w:lang w:val="ru-RU"/>
        </w:rPr>
        <w:t>особа, яка перебуває у шлюбі із відповідною особою, або особа, яка спільно проживає, пов’язана спільним побутом, має взаємні права та обов’язки із відповідною особою, але не перебуває з нею у шлюбі;</w:t>
      </w:r>
    </w:p>
    <w:p w14:paraId="355CEE51" w14:textId="77777777" w:rsidR="006C27C6" w:rsidRPr="006C27C6" w:rsidRDefault="006C27C6" w:rsidP="0051218D">
      <w:pPr>
        <w:numPr>
          <w:ilvl w:val="1"/>
          <w:numId w:val="17"/>
        </w:numPr>
        <w:spacing w:line="240" w:lineRule="auto"/>
        <w:rPr>
          <w:rFonts w:ascii="Times New Roman" w:hAnsi="Times New Roman" w:cs="Times New Roman"/>
          <w:lang w:val="ru-RU"/>
        </w:rPr>
      </w:pPr>
      <w:r w:rsidRPr="006C27C6">
        <w:rPr>
          <w:rFonts w:ascii="Times New Roman" w:hAnsi="Times New Roman" w:cs="Times New Roman"/>
          <w:lang w:val="ru-RU"/>
        </w:rPr>
        <w:t>рідна дитина або пасинок або падчерка відповідної особи, які знаходяться на утриманні відповідної особи;</w:t>
      </w:r>
    </w:p>
    <w:p w14:paraId="492F5D76" w14:textId="77777777" w:rsidR="006C27C6" w:rsidRPr="006C27C6" w:rsidRDefault="006C27C6" w:rsidP="0051218D">
      <w:pPr>
        <w:numPr>
          <w:ilvl w:val="1"/>
          <w:numId w:val="18"/>
        </w:numPr>
        <w:spacing w:line="240" w:lineRule="auto"/>
        <w:rPr>
          <w:rFonts w:ascii="Times New Roman" w:hAnsi="Times New Roman" w:cs="Times New Roman"/>
          <w:lang w:val="ru-RU"/>
        </w:rPr>
      </w:pPr>
      <w:r w:rsidRPr="006C27C6">
        <w:rPr>
          <w:rFonts w:ascii="Times New Roman" w:hAnsi="Times New Roman" w:cs="Times New Roman"/>
          <w:lang w:val="ru-RU"/>
        </w:rPr>
        <w:t>будь-яка інша близька особа щодо відповідної особи, яка спільно проживає, пов’язана спільним побутом, має взаємні права та обов’язки із відповідною особою, протягом одного і більше року на дату особистої угоди.</w:t>
      </w:r>
    </w:p>
    <w:p w14:paraId="39214F02" w14:textId="77777777" w:rsidR="006C27C6" w:rsidRPr="006C27C6" w:rsidRDefault="006C27C6" w:rsidP="0051218D">
      <w:pPr>
        <w:spacing w:line="240" w:lineRule="auto"/>
        <w:rPr>
          <w:rFonts w:ascii="Times New Roman" w:hAnsi="Times New Roman" w:cs="Times New Roman"/>
          <w:lang w:val="ru-RU"/>
        </w:rPr>
      </w:pPr>
      <w:r w:rsidRPr="006C27C6">
        <w:rPr>
          <w:rFonts w:ascii="Times New Roman" w:hAnsi="Times New Roman" w:cs="Times New Roman"/>
          <w:b/>
          <w:bCs/>
          <w:lang w:val="ru-RU"/>
        </w:rPr>
        <w:t>Відповідними особами є:</w:t>
      </w:r>
    </w:p>
    <w:p w14:paraId="4DE0E315" w14:textId="77777777" w:rsidR="006C27C6" w:rsidRPr="006C27C6" w:rsidRDefault="006C27C6" w:rsidP="0051218D">
      <w:pPr>
        <w:numPr>
          <w:ilvl w:val="0"/>
          <w:numId w:val="19"/>
        </w:numPr>
        <w:spacing w:line="240" w:lineRule="auto"/>
        <w:rPr>
          <w:rFonts w:ascii="Times New Roman" w:hAnsi="Times New Roman" w:cs="Times New Roman"/>
          <w:lang w:val="ru-RU"/>
        </w:rPr>
      </w:pPr>
      <w:r w:rsidRPr="006C27C6">
        <w:rPr>
          <w:rFonts w:ascii="Times New Roman" w:hAnsi="Times New Roman" w:cs="Times New Roman"/>
          <w:lang w:val="ru-RU"/>
        </w:rPr>
        <w:t>особи, які здійснюють виконавчі функції  в Інвестиційній фірмі або її пов’язаному агенті;</w:t>
      </w:r>
    </w:p>
    <w:p w14:paraId="477470EC" w14:textId="77777777" w:rsidR="006C27C6" w:rsidRPr="006C27C6" w:rsidRDefault="006C27C6" w:rsidP="0051218D">
      <w:pPr>
        <w:numPr>
          <w:ilvl w:val="0"/>
          <w:numId w:val="19"/>
        </w:numPr>
        <w:spacing w:line="240" w:lineRule="auto"/>
        <w:rPr>
          <w:rFonts w:ascii="Times New Roman" w:hAnsi="Times New Roman" w:cs="Times New Roman"/>
          <w:lang w:val="ru-RU"/>
        </w:rPr>
      </w:pPr>
      <w:r w:rsidRPr="006C27C6">
        <w:rPr>
          <w:rFonts w:ascii="Times New Roman" w:hAnsi="Times New Roman" w:cs="Times New Roman"/>
          <w:lang w:val="ru-RU"/>
        </w:rPr>
        <w:t>особа, яка є акціонером (учасником); </w:t>
      </w:r>
    </w:p>
    <w:p w14:paraId="591CF4D6" w14:textId="77777777" w:rsidR="006C27C6" w:rsidRPr="006C27C6" w:rsidRDefault="006C27C6" w:rsidP="0051218D">
      <w:pPr>
        <w:numPr>
          <w:ilvl w:val="0"/>
          <w:numId w:val="19"/>
        </w:numPr>
        <w:spacing w:line="240" w:lineRule="auto"/>
        <w:rPr>
          <w:rFonts w:ascii="Times New Roman" w:hAnsi="Times New Roman" w:cs="Times New Roman"/>
          <w:lang w:val="ru-RU"/>
        </w:rPr>
      </w:pPr>
      <w:r w:rsidRPr="006C27C6">
        <w:rPr>
          <w:rFonts w:ascii="Times New Roman" w:hAnsi="Times New Roman" w:cs="Times New Roman"/>
          <w:lang w:val="ru-RU"/>
        </w:rPr>
        <w:t>працівник, а також будь-яка інша фізична особа, послугами якої розпоряджається та послуги якої контролює Інвестиційна фірма та яка задіяна в наданні Інвестиційною фірмою інвестиційних послуг та провадженні професійної діяльності (пов’язаний агент);</w:t>
      </w:r>
    </w:p>
    <w:p w14:paraId="46E98D2F" w14:textId="77777777" w:rsidR="006C27C6" w:rsidRPr="006C27C6" w:rsidRDefault="006C27C6" w:rsidP="0051218D">
      <w:pPr>
        <w:numPr>
          <w:ilvl w:val="0"/>
          <w:numId w:val="19"/>
        </w:numPr>
        <w:spacing w:line="240" w:lineRule="auto"/>
        <w:rPr>
          <w:rFonts w:ascii="Times New Roman" w:hAnsi="Times New Roman" w:cs="Times New Roman"/>
          <w:lang w:val="ru-RU"/>
        </w:rPr>
      </w:pPr>
      <w:r w:rsidRPr="006C27C6">
        <w:rPr>
          <w:rFonts w:ascii="Times New Roman" w:hAnsi="Times New Roman" w:cs="Times New Roman"/>
          <w:lang w:val="ru-RU"/>
        </w:rPr>
        <w:t>інші особи, якщо їх визначено такими чинним законодавством. </w:t>
      </w:r>
    </w:p>
    <w:p w14:paraId="08DA1CF1" w14:textId="77777777" w:rsidR="006C27C6" w:rsidRPr="006C27C6" w:rsidRDefault="006C27C6" w:rsidP="0051218D">
      <w:pPr>
        <w:numPr>
          <w:ilvl w:val="0"/>
          <w:numId w:val="20"/>
        </w:numPr>
        <w:spacing w:line="240" w:lineRule="auto"/>
        <w:rPr>
          <w:rFonts w:ascii="Times New Roman" w:hAnsi="Times New Roman" w:cs="Times New Roman"/>
          <w:lang w:val="ru-RU"/>
        </w:rPr>
      </w:pPr>
      <w:r w:rsidRPr="006C27C6">
        <w:rPr>
          <w:rFonts w:ascii="Times New Roman" w:hAnsi="Times New Roman" w:cs="Times New Roman"/>
          <w:lang w:val="ru-RU"/>
        </w:rPr>
        <w:lastRenderedPageBreak/>
        <w:t>Інвестиційна фірма встановлює, впроваджує та підтримує належні заходи, спрямовані на запобігання діяльності, викладені у пунктах 3-5 цього розділу, будь-якою відповідною особою, залученою до діяльності, яка може викликати конфлікт інтересів, або особою, яка має доступ до внутрішньої інформації або до іншої конфіденційної інформації, що стосується клієнтів або договорів з ними чи на їх користь, в силу діяльності, що здійснюється нею від імені Інвестиційної фірми.</w:t>
      </w:r>
    </w:p>
    <w:p w14:paraId="32950D5D" w14:textId="77777777" w:rsidR="006C27C6" w:rsidRPr="006C27C6" w:rsidRDefault="006C27C6" w:rsidP="0051218D">
      <w:pPr>
        <w:spacing w:line="240" w:lineRule="auto"/>
        <w:rPr>
          <w:rFonts w:ascii="Times New Roman" w:hAnsi="Times New Roman" w:cs="Times New Roman"/>
          <w:lang w:val="ru-RU"/>
        </w:rPr>
      </w:pPr>
      <w:r w:rsidRPr="006C27C6">
        <w:rPr>
          <w:rFonts w:ascii="Times New Roman" w:hAnsi="Times New Roman" w:cs="Times New Roman"/>
          <w:lang w:val="ru-RU"/>
        </w:rPr>
        <w:t>Конфлікт інтересів – наявні та потенційні суперечності між особистими інтересами і посадовими чи професійними обов'язками особи, що можуть вплинути на добросовісне виконання нею своїх повноважень, об'єктивність та неупередженість прийняття рішень;</w:t>
      </w:r>
    </w:p>
    <w:p w14:paraId="1B2E6B06" w14:textId="77777777" w:rsidR="006C27C6" w:rsidRPr="006C27C6" w:rsidRDefault="006C27C6" w:rsidP="0051218D">
      <w:pPr>
        <w:numPr>
          <w:ilvl w:val="0"/>
          <w:numId w:val="21"/>
        </w:numPr>
        <w:spacing w:line="240" w:lineRule="auto"/>
        <w:rPr>
          <w:rFonts w:ascii="Times New Roman" w:hAnsi="Times New Roman" w:cs="Times New Roman"/>
          <w:lang w:val="ru-RU"/>
        </w:rPr>
      </w:pPr>
      <w:r w:rsidRPr="006C27C6">
        <w:rPr>
          <w:rFonts w:ascii="Times New Roman" w:hAnsi="Times New Roman" w:cs="Times New Roman"/>
          <w:lang w:val="ru-RU"/>
        </w:rPr>
        <w:t>Інвестиційна фірма забезпечує, щоб відповідні особи не укладали особисту угоду, яка відповідає хоча б одному з таких критеріїв:</w:t>
      </w:r>
    </w:p>
    <w:p w14:paraId="5ECC8E88" w14:textId="77777777" w:rsidR="006C27C6" w:rsidRPr="006C27C6" w:rsidRDefault="006C27C6" w:rsidP="0051218D">
      <w:pPr>
        <w:numPr>
          <w:ilvl w:val="0"/>
          <w:numId w:val="22"/>
        </w:numPr>
        <w:spacing w:line="240" w:lineRule="auto"/>
        <w:rPr>
          <w:rFonts w:ascii="Times New Roman" w:hAnsi="Times New Roman" w:cs="Times New Roman"/>
          <w:lang w:val="ru-RU"/>
        </w:rPr>
      </w:pPr>
      <w:r w:rsidRPr="006C27C6">
        <w:rPr>
          <w:rFonts w:ascii="Times New Roman" w:hAnsi="Times New Roman" w:cs="Times New Roman"/>
          <w:lang w:val="ru-RU"/>
        </w:rPr>
        <w:t>такій особі заборонено укладати угоди, оскільки вона має доступ до внутрішньої або іншої конфіденційної інформації, що стосується клієнтів або угод з ними чи на їх користь;</w:t>
      </w:r>
    </w:p>
    <w:p w14:paraId="6884F0F0" w14:textId="77777777" w:rsidR="006C27C6" w:rsidRPr="006C27C6" w:rsidRDefault="006C27C6" w:rsidP="0051218D">
      <w:pPr>
        <w:numPr>
          <w:ilvl w:val="0"/>
          <w:numId w:val="22"/>
        </w:numPr>
        <w:spacing w:line="240" w:lineRule="auto"/>
        <w:rPr>
          <w:rFonts w:ascii="Times New Roman" w:hAnsi="Times New Roman" w:cs="Times New Roman"/>
          <w:lang w:val="ru-RU"/>
        </w:rPr>
      </w:pPr>
      <w:r w:rsidRPr="006C27C6">
        <w:rPr>
          <w:rFonts w:ascii="Times New Roman" w:hAnsi="Times New Roman" w:cs="Times New Roman"/>
          <w:lang w:val="ru-RU"/>
        </w:rPr>
        <w:t>укладання угоди пов'язано із зловживанням або неправомірним розкриттям конфіденційної інформації;</w:t>
      </w:r>
    </w:p>
    <w:p w14:paraId="4F1C18DA" w14:textId="77777777" w:rsidR="006C27C6" w:rsidRPr="006C27C6" w:rsidRDefault="006C27C6" w:rsidP="0051218D">
      <w:pPr>
        <w:numPr>
          <w:ilvl w:val="0"/>
          <w:numId w:val="22"/>
        </w:numPr>
        <w:spacing w:line="240" w:lineRule="auto"/>
        <w:rPr>
          <w:rFonts w:ascii="Times New Roman" w:hAnsi="Times New Roman" w:cs="Times New Roman"/>
          <w:lang w:val="ru-RU"/>
        </w:rPr>
      </w:pPr>
      <w:r w:rsidRPr="006C27C6">
        <w:rPr>
          <w:rFonts w:ascii="Times New Roman" w:hAnsi="Times New Roman" w:cs="Times New Roman"/>
          <w:lang w:val="ru-RU"/>
        </w:rPr>
        <w:t>укладання угоди суперечить або може суперечити обов'язкам Інвестиційної фірми відповідно до цього Положення.</w:t>
      </w:r>
    </w:p>
    <w:p w14:paraId="03F25218" w14:textId="77777777" w:rsidR="006C27C6" w:rsidRPr="006C27C6" w:rsidRDefault="006C27C6" w:rsidP="0051218D">
      <w:pPr>
        <w:numPr>
          <w:ilvl w:val="0"/>
          <w:numId w:val="23"/>
        </w:numPr>
        <w:spacing w:line="240" w:lineRule="auto"/>
        <w:rPr>
          <w:rFonts w:ascii="Times New Roman" w:hAnsi="Times New Roman" w:cs="Times New Roman"/>
          <w:lang w:val="ru-RU"/>
        </w:rPr>
      </w:pPr>
      <w:r w:rsidRPr="006C27C6">
        <w:rPr>
          <w:rFonts w:ascii="Times New Roman" w:hAnsi="Times New Roman" w:cs="Times New Roman"/>
          <w:lang w:val="ru-RU"/>
        </w:rPr>
        <w:t>Інвестиційна фірма  забезпечує, щоб відповідні особи не надавали порад чи рекомендацій, крім випадків, коли це відбувається під час виконання функціональних обов'язків в межах провадження діяльності з торгівлі фінансовими інструментами, зокрема, наданні послуг відповідно до договору з клієнтом, будь-якій іншій особі щодо укладання правочину щодо фінансових інструментів, який підпадатиме під дію п. 3 цього розділу, як особиста угода відповідної особи.</w:t>
      </w:r>
    </w:p>
    <w:p w14:paraId="02440F9B" w14:textId="77777777" w:rsidR="006C27C6" w:rsidRPr="006C27C6" w:rsidRDefault="006C27C6" w:rsidP="0051218D">
      <w:pPr>
        <w:numPr>
          <w:ilvl w:val="0"/>
          <w:numId w:val="24"/>
        </w:numPr>
        <w:spacing w:line="240" w:lineRule="auto"/>
        <w:rPr>
          <w:rFonts w:ascii="Times New Roman" w:hAnsi="Times New Roman" w:cs="Times New Roman"/>
          <w:lang w:val="ru-RU"/>
        </w:rPr>
      </w:pPr>
      <w:r w:rsidRPr="006C27C6">
        <w:rPr>
          <w:rFonts w:ascii="Times New Roman" w:hAnsi="Times New Roman" w:cs="Times New Roman"/>
          <w:lang w:val="ru-RU"/>
        </w:rPr>
        <w:t>З метою уникнення неправомірного розкриття внутрішньої інформації Інвестиційна фірма забезпечує, щоб відповідні особи, крім випадків, коли це відбувається під час виконання функціональних обов'язків в межах провадження діяльності з торгівлі фінансовими інструментами, зокрема, наданні послуг відповідно до договору з клієнтом, не розкривали будь-якій іншій особі будь-яку інформацію чи висновок, якщо відповідна особа знає або обґрунтовано має знати, що таке розкриття призведе або може призвести до однієї з таких подій:</w:t>
      </w:r>
    </w:p>
    <w:p w14:paraId="08175938" w14:textId="77777777" w:rsidR="006C27C6" w:rsidRPr="006C27C6" w:rsidRDefault="006C27C6" w:rsidP="0051218D">
      <w:pPr>
        <w:numPr>
          <w:ilvl w:val="0"/>
          <w:numId w:val="25"/>
        </w:numPr>
        <w:spacing w:line="240" w:lineRule="auto"/>
        <w:rPr>
          <w:rFonts w:ascii="Times New Roman" w:hAnsi="Times New Roman" w:cs="Times New Roman"/>
          <w:lang w:val="ru-RU"/>
        </w:rPr>
      </w:pPr>
      <w:r w:rsidRPr="006C27C6">
        <w:rPr>
          <w:rFonts w:ascii="Times New Roman" w:hAnsi="Times New Roman" w:cs="Times New Roman"/>
          <w:lang w:val="ru-RU"/>
        </w:rPr>
        <w:t>інша особа укладе договір щодо фінансових інструментів, який підпадатиме під дію п. 3 цього розділу, як особиста угода відповідної особи;</w:t>
      </w:r>
    </w:p>
    <w:p w14:paraId="02C67DC2" w14:textId="77777777" w:rsidR="006C27C6" w:rsidRPr="006C27C6" w:rsidRDefault="006C27C6" w:rsidP="0051218D">
      <w:pPr>
        <w:numPr>
          <w:ilvl w:val="0"/>
          <w:numId w:val="25"/>
        </w:numPr>
        <w:spacing w:line="240" w:lineRule="auto"/>
        <w:rPr>
          <w:rFonts w:ascii="Times New Roman" w:hAnsi="Times New Roman" w:cs="Times New Roman"/>
          <w:lang w:val="ru-RU"/>
        </w:rPr>
      </w:pPr>
      <w:r w:rsidRPr="006C27C6">
        <w:rPr>
          <w:rFonts w:ascii="Times New Roman" w:hAnsi="Times New Roman" w:cs="Times New Roman"/>
          <w:lang w:val="ru-RU"/>
        </w:rPr>
        <w:t>інша особа порадить будь-якій іншій особі укласти таку угоду або відшукає іншу особу, яка може укласти таку угоду в її інтересах.</w:t>
      </w:r>
    </w:p>
    <w:p w14:paraId="13D33FBB" w14:textId="77777777" w:rsidR="006C27C6" w:rsidRPr="006C27C6" w:rsidRDefault="006C27C6" w:rsidP="0051218D">
      <w:pPr>
        <w:numPr>
          <w:ilvl w:val="0"/>
          <w:numId w:val="26"/>
        </w:numPr>
        <w:spacing w:line="240" w:lineRule="auto"/>
        <w:rPr>
          <w:rFonts w:ascii="Times New Roman" w:hAnsi="Times New Roman" w:cs="Times New Roman"/>
          <w:lang w:val="ru-RU"/>
        </w:rPr>
      </w:pPr>
      <w:r w:rsidRPr="006C27C6">
        <w:rPr>
          <w:rFonts w:ascii="Times New Roman" w:hAnsi="Times New Roman" w:cs="Times New Roman"/>
          <w:lang w:val="ru-RU"/>
        </w:rPr>
        <w:t>Вищезазначені заходи  виконуються таким чином, щоб:</w:t>
      </w:r>
    </w:p>
    <w:p w14:paraId="2A409F5D" w14:textId="77777777" w:rsidR="006C27C6" w:rsidRPr="006C27C6" w:rsidRDefault="006C27C6" w:rsidP="0051218D">
      <w:pPr>
        <w:numPr>
          <w:ilvl w:val="0"/>
          <w:numId w:val="27"/>
        </w:numPr>
        <w:spacing w:line="240" w:lineRule="auto"/>
        <w:rPr>
          <w:rFonts w:ascii="Times New Roman" w:hAnsi="Times New Roman" w:cs="Times New Roman"/>
          <w:lang w:val="ru-RU"/>
        </w:rPr>
      </w:pPr>
      <w:r w:rsidRPr="006C27C6">
        <w:rPr>
          <w:rFonts w:ascii="Times New Roman" w:hAnsi="Times New Roman" w:cs="Times New Roman"/>
          <w:lang w:val="ru-RU"/>
        </w:rPr>
        <w:t>кожна з відповідних осіб, на яку поширюються вимоги пп. 3-5 цього розділу, усвідомлювала обмеження щодо особистих угод та заходів, запроваджених Інвестиційною фірмою у зв'язку з особистими угодами та розкриттям інформації відповідно до пп. 3 - 5 цього розділу;</w:t>
      </w:r>
    </w:p>
    <w:p w14:paraId="0C2E7FB9" w14:textId="77777777" w:rsidR="006C27C6" w:rsidRPr="006C27C6" w:rsidRDefault="006C27C6" w:rsidP="0051218D">
      <w:pPr>
        <w:numPr>
          <w:ilvl w:val="0"/>
          <w:numId w:val="27"/>
        </w:numPr>
        <w:spacing w:line="240" w:lineRule="auto"/>
        <w:rPr>
          <w:rFonts w:ascii="Times New Roman" w:hAnsi="Times New Roman" w:cs="Times New Roman"/>
          <w:lang w:val="ru-RU"/>
        </w:rPr>
      </w:pPr>
      <w:r w:rsidRPr="006C27C6">
        <w:rPr>
          <w:rFonts w:ascii="Times New Roman" w:hAnsi="Times New Roman" w:cs="Times New Roman"/>
          <w:lang w:val="ru-RU"/>
        </w:rPr>
        <w:t>Інвестиційна фірма в особі керівника була проінформована про будь-яку особисту угоду, укладену відповідною особою, шляхом повідомлення про цю угоду; </w:t>
      </w:r>
    </w:p>
    <w:p w14:paraId="6EE68617" w14:textId="77777777" w:rsidR="006C27C6" w:rsidRPr="006C27C6" w:rsidRDefault="006C27C6" w:rsidP="0051218D">
      <w:pPr>
        <w:numPr>
          <w:ilvl w:val="0"/>
          <w:numId w:val="27"/>
        </w:numPr>
        <w:spacing w:line="240" w:lineRule="auto"/>
        <w:rPr>
          <w:rFonts w:ascii="Times New Roman" w:hAnsi="Times New Roman" w:cs="Times New Roman"/>
          <w:lang w:val="ru-RU"/>
        </w:rPr>
      </w:pPr>
      <w:r w:rsidRPr="006C27C6">
        <w:rPr>
          <w:rFonts w:ascii="Times New Roman" w:hAnsi="Times New Roman" w:cs="Times New Roman"/>
          <w:lang w:val="ru-RU"/>
        </w:rPr>
        <w:t>здійснювалось забезпечення збереження записів про особисті угоди, щодо яких було повідомлено Інвестиційну фірму або які були виявлені нею, включаючи інформацію про будь-які дозволи або заборони щодо таких угод.</w:t>
      </w:r>
    </w:p>
    <w:p w14:paraId="1CB30ECD" w14:textId="77777777" w:rsidR="006C27C6" w:rsidRPr="006C27C6" w:rsidRDefault="006C27C6" w:rsidP="0051218D">
      <w:pPr>
        <w:numPr>
          <w:ilvl w:val="0"/>
          <w:numId w:val="28"/>
        </w:numPr>
        <w:spacing w:line="240" w:lineRule="auto"/>
        <w:rPr>
          <w:rFonts w:ascii="Times New Roman" w:hAnsi="Times New Roman" w:cs="Times New Roman"/>
          <w:lang w:val="ru-RU"/>
        </w:rPr>
      </w:pPr>
      <w:r w:rsidRPr="006C27C6">
        <w:rPr>
          <w:rFonts w:ascii="Times New Roman" w:hAnsi="Times New Roman" w:cs="Times New Roman"/>
          <w:lang w:val="ru-RU"/>
        </w:rPr>
        <w:t>Вимоги пунктів 3 - 6 цього розділу не застосовуються до особистих угод, які укладаються Інвестиційною фірмою на підставі договору про управління фінансовими інструментами і коштами, призначеними для інвестування у фінансові інструменти, укладеного з відповідною особою.</w:t>
      </w:r>
    </w:p>
    <w:p w14:paraId="1C4B9E6C" w14:textId="77777777" w:rsidR="006C27C6" w:rsidRPr="006C27C6" w:rsidRDefault="006C27C6" w:rsidP="0051218D">
      <w:pPr>
        <w:numPr>
          <w:ilvl w:val="0"/>
          <w:numId w:val="29"/>
        </w:numPr>
        <w:spacing w:line="240" w:lineRule="auto"/>
        <w:rPr>
          <w:rFonts w:ascii="Times New Roman" w:hAnsi="Times New Roman" w:cs="Times New Roman"/>
          <w:lang w:val="ru-RU"/>
        </w:rPr>
      </w:pPr>
      <w:r w:rsidRPr="006C27C6">
        <w:rPr>
          <w:rFonts w:ascii="Times New Roman" w:hAnsi="Times New Roman" w:cs="Times New Roman"/>
          <w:lang w:val="ru-RU"/>
        </w:rPr>
        <w:t>Перед укладенням особистої угоди відповідна особа має перевірити, чи включено емітента фінансового інструменту, що є предметом угоди, фінансовий інструмент, що є предметом угоди, або особу, що ініціює угоду, до списку спостереження («watch list»), списку обмеження («restricted list») чи до списку залучених до угоди осіб («deal team list»), де:</w:t>
      </w:r>
    </w:p>
    <w:p w14:paraId="1C0967CF" w14:textId="77777777" w:rsidR="006C27C6" w:rsidRPr="006C27C6" w:rsidRDefault="006C27C6" w:rsidP="0051218D">
      <w:pPr>
        <w:spacing w:line="240" w:lineRule="auto"/>
        <w:rPr>
          <w:rFonts w:ascii="Times New Roman" w:hAnsi="Times New Roman" w:cs="Times New Roman"/>
          <w:lang w:val="ru-RU"/>
        </w:rPr>
      </w:pPr>
      <w:r w:rsidRPr="006C27C6">
        <w:rPr>
          <w:rFonts w:ascii="Times New Roman" w:hAnsi="Times New Roman" w:cs="Times New Roman"/>
          <w:lang w:val="ru-RU"/>
        </w:rPr>
        <w:lastRenderedPageBreak/>
        <w:t>˗</w:t>
      </w:r>
      <w:r w:rsidRPr="006C27C6">
        <w:rPr>
          <w:rFonts w:ascii="Times New Roman" w:hAnsi="Times New Roman" w:cs="Times New Roman"/>
          <w:lang w:val="ru-RU"/>
        </w:rPr>
        <w:tab/>
        <w:t>список спостереження («watch list») – список емітентів, щодо яких у Інвестиційної фірми є конфіденційна або інсайдерська інформація щодо запланованих угод, а також угод, що не були анонсовані;</w:t>
      </w:r>
    </w:p>
    <w:p w14:paraId="2FE02A1F" w14:textId="77777777" w:rsidR="006C27C6" w:rsidRPr="006C27C6" w:rsidRDefault="006C27C6" w:rsidP="0051218D">
      <w:pPr>
        <w:spacing w:line="240" w:lineRule="auto"/>
        <w:rPr>
          <w:rFonts w:ascii="Times New Roman" w:hAnsi="Times New Roman" w:cs="Times New Roman"/>
          <w:lang w:val="ru-RU"/>
        </w:rPr>
      </w:pPr>
      <w:r w:rsidRPr="006C27C6">
        <w:rPr>
          <w:rFonts w:ascii="Times New Roman" w:hAnsi="Times New Roman" w:cs="Times New Roman"/>
          <w:lang w:val="ru-RU"/>
        </w:rPr>
        <w:t>˗</w:t>
      </w:r>
      <w:r w:rsidRPr="006C27C6">
        <w:rPr>
          <w:rFonts w:ascii="Times New Roman" w:hAnsi="Times New Roman" w:cs="Times New Roman"/>
          <w:lang w:val="ru-RU"/>
        </w:rPr>
        <w:tab/>
        <w:t>список обмежень («restricted list») – список емітентів і фінансових інструментів, щодо яких накладаються певні обмеження на операції на ринках капіталу, а також список фінансових інструментів, щодо операцій з якими треба застосовувати контроль;</w:t>
      </w:r>
    </w:p>
    <w:p w14:paraId="45BCAA66" w14:textId="77777777" w:rsidR="006C27C6" w:rsidRPr="006C27C6" w:rsidRDefault="006C27C6" w:rsidP="0051218D">
      <w:pPr>
        <w:spacing w:line="240" w:lineRule="auto"/>
        <w:rPr>
          <w:rFonts w:ascii="Times New Roman" w:hAnsi="Times New Roman" w:cs="Times New Roman"/>
          <w:lang w:val="ru-RU"/>
        </w:rPr>
      </w:pPr>
      <w:r w:rsidRPr="006C27C6">
        <w:rPr>
          <w:rFonts w:ascii="Times New Roman" w:hAnsi="Times New Roman" w:cs="Times New Roman"/>
          <w:lang w:val="ru-RU"/>
        </w:rPr>
        <w:t>˗</w:t>
      </w:r>
      <w:r w:rsidRPr="006C27C6">
        <w:rPr>
          <w:rFonts w:ascii="Times New Roman" w:hAnsi="Times New Roman" w:cs="Times New Roman"/>
          <w:lang w:val="ru-RU"/>
        </w:rPr>
        <w:tab/>
        <w:t>список залучених до угоди осіб («deal team list») – список відповідних осіб, пов’язаних агентів та осіб, залучених до угоди емітента, щодо якої у таких осіб є або може бути доступ до конфіденційної або інсайдерської інформації.</w:t>
      </w:r>
    </w:p>
    <w:p w14:paraId="71E1DB4D" w14:textId="77777777" w:rsidR="006C27C6" w:rsidRPr="006C27C6" w:rsidRDefault="006C27C6" w:rsidP="0051218D">
      <w:pPr>
        <w:numPr>
          <w:ilvl w:val="0"/>
          <w:numId w:val="30"/>
        </w:numPr>
        <w:spacing w:line="240" w:lineRule="auto"/>
        <w:rPr>
          <w:rFonts w:ascii="Times New Roman" w:hAnsi="Times New Roman" w:cs="Times New Roman"/>
          <w:lang w:val="ru-RU"/>
        </w:rPr>
      </w:pPr>
      <w:r w:rsidRPr="006C27C6">
        <w:rPr>
          <w:rFonts w:ascii="Times New Roman" w:hAnsi="Times New Roman" w:cs="Times New Roman"/>
          <w:lang w:val="ru-RU"/>
        </w:rPr>
        <w:t>У разі, якщо емітента, фінансовий інструмент або особу включено до вказаних у п. 8 списків, угода може бути укладена виключно за попереднім погодженням із комплаєнс-менеджером та/або керівником Інвестиційної фірми.</w:t>
      </w:r>
    </w:p>
    <w:p w14:paraId="00A7076C" w14:textId="77777777" w:rsidR="006C27C6" w:rsidRPr="006C27C6" w:rsidRDefault="006C27C6" w:rsidP="0051218D">
      <w:pPr>
        <w:spacing w:line="240" w:lineRule="auto"/>
        <w:rPr>
          <w:rFonts w:ascii="Times New Roman" w:hAnsi="Times New Roman" w:cs="Times New Roman"/>
          <w:lang w:val="ru-RU"/>
        </w:rPr>
      </w:pPr>
      <w:r w:rsidRPr="006C27C6">
        <w:rPr>
          <w:rFonts w:ascii="Times New Roman" w:hAnsi="Times New Roman" w:cs="Times New Roman"/>
          <w:lang w:val="ru-RU"/>
        </w:rPr>
        <w:t>В інших випадках, відповідна особа зобов’язана повідомити комплаєнс-менеджера та/або керівника про укладену угоду протягом 1 (одного) робочого дня з моменту її укладення. </w:t>
      </w:r>
    </w:p>
    <w:p w14:paraId="22D463D2" w14:textId="77777777" w:rsidR="006C27C6" w:rsidRPr="006C27C6" w:rsidRDefault="006C27C6" w:rsidP="0051218D">
      <w:pPr>
        <w:numPr>
          <w:ilvl w:val="0"/>
          <w:numId w:val="31"/>
        </w:numPr>
        <w:spacing w:line="240" w:lineRule="auto"/>
        <w:rPr>
          <w:rFonts w:ascii="Times New Roman" w:hAnsi="Times New Roman" w:cs="Times New Roman"/>
          <w:lang w:val="ru-RU"/>
        </w:rPr>
      </w:pPr>
      <w:r w:rsidRPr="006C27C6">
        <w:rPr>
          <w:rFonts w:ascii="Times New Roman" w:hAnsi="Times New Roman" w:cs="Times New Roman"/>
          <w:lang w:val="ru-RU"/>
        </w:rPr>
        <w:t>Повідомлення про намір укласти особисту угоду може направлятися засобами корпоративної електронної пошти або іншого програмного забезпечення, що використовується в Інвестиційній фірмі. </w:t>
      </w:r>
    </w:p>
    <w:p w14:paraId="490641DC" w14:textId="77777777" w:rsidR="006C27C6" w:rsidRPr="006C27C6" w:rsidRDefault="006C27C6" w:rsidP="0051218D">
      <w:pPr>
        <w:numPr>
          <w:ilvl w:val="0"/>
          <w:numId w:val="32"/>
        </w:numPr>
        <w:spacing w:line="240" w:lineRule="auto"/>
        <w:rPr>
          <w:rFonts w:ascii="Times New Roman" w:hAnsi="Times New Roman" w:cs="Times New Roman"/>
          <w:lang w:val="ru-RU"/>
        </w:rPr>
      </w:pPr>
      <w:r w:rsidRPr="006C27C6">
        <w:rPr>
          <w:rFonts w:ascii="Times New Roman" w:hAnsi="Times New Roman" w:cs="Times New Roman"/>
          <w:lang w:val="ru-RU"/>
        </w:rPr>
        <w:t>Комплаєнс-менеджер (керівник) повинен здійснити аналіз щодо можливості проведення такої операції без порушення прав та інтересів клієнтів та вимог законодавства. Для здійснення такого аналізу Комплаєнс-менеджер (керівник) має право вимагати у відповідної особи,  додаткову інформацію та документи стосовно особистої угоди, яку така особа має намір укласти, або щодо вже укладеної угоди. </w:t>
      </w:r>
    </w:p>
    <w:p w14:paraId="101980B6" w14:textId="77777777" w:rsidR="006C27C6" w:rsidRPr="006C27C6" w:rsidRDefault="006C27C6" w:rsidP="0051218D">
      <w:pPr>
        <w:numPr>
          <w:ilvl w:val="0"/>
          <w:numId w:val="33"/>
        </w:numPr>
        <w:spacing w:line="240" w:lineRule="auto"/>
        <w:rPr>
          <w:rFonts w:ascii="Times New Roman" w:hAnsi="Times New Roman" w:cs="Times New Roman"/>
          <w:lang w:val="ru-RU"/>
        </w:rPr>
      </w:pPr>
      <w:r w:rsidRPr="006C27C6">
        <w:rPr>
          <w:rFonts w:ascii="Times New Roman" w:hAnsi="Times New Roman" w:cs="Times New Roman"/>
          <w:lang w:val="ru-RU"/>
        </w:rPr>
        <w:t>Комплаєнс-менеджер (керівник) має право відмовити у погодженні особистої угоди, якщо її укладання суперечитиме цьому Порядку або законодавству, а також у випадках, якщо відповідна особа, не надала на вимогу комплаєнс-менеджера (керівника) додаткову інформацію та документи стосовно особистої угоди. </w:t>
      </w:r>
    </w:p>
    <w:p w14:paraId="3D6B7193" w14:textId="77777777" w:rsidR="006C27C6" w:rsidRPr="006C27C6" w:rsidRDefault="006C27C6" w:rsidP="0051218D">
      <w:pPr>
        <w:numPr>
          <w:ilvl w:val="0"/>
          <w:numId w:val="34"/>
        </w:numPr>
        <w:spacing w:line="240" w:lineRule="auto"/>
        <w:rPr>
          <w:rFonts w:ascii="Times New Roman" w:hAnsi="Times New Roman" w:cs="Times New Roman"/>
          <w:lang w:val="ru-RU"/>
        </w:rPr>
      </w:pPr>
      <w:r w:rsidRPr="006C27C6">
        <w:rPr>
          <w:rFonts w:ascii="Times New Roman" w:hAnsi="Times New Roman" w:cs="Times New Roman"/>
          <w:lang w:val="ru-RU"/>
        </w:rPr>
        <w:t xml:space="preserve"> Комплаєнс-менеджер (керівник) надає погодження чи відмовляє у погодженні особистої угоди протягом 2 (двох) робочих днів з дня отримання повідомлення про намір укласти особисту угоду та надання додаткової інформації (за необхідності). </w:t>
      </w:r>
      <w:r w:rsidRPr="006C27C6">
        <w:rPr>
          <w:rFonts w:ascii="Times New Roman" w:hAnsi="Times New Roman" w:cs="Times New Roman"/>
          <w:lang w:val="ru-RU"/>
        </w:rPr>
        <w:br/>
        <w:t>Погодження на укладання особистої угоди залишається чинним протягом вказаного у такому погодженні строку, але не більше 5 (п’яти) робочих днів , включаючи день його надання. Посадова особа, яка надала погодження, може відкликати його у будь-який час. Працівники, які здійснюють обслуговування операцій Інвестиційної фірми з торгівлі фінансовими інструментами, зобов’язані виявляти спроби відповідних осіб,  укласти особисті угоди, які ініційовано без отримання погодження або у погодженні яких було відмовлено.</w:t>
      </w:r>
    </w:p>
    <w:p w14:paraId="5DF0FBBA" w14:textId="77777777" w:rsidR="006C27C6" w:rsidRPr="006C27C6" w:rsidRDefault="006C27C6" w:rsidP="0051218D">
      <w:pPr>
        <w:numPr>
          <w:ilvl w:val="0"/>
          <w:numId w:val="35"/>
        </w:numPr>
        <w:spacing w:line="240" w:lineRule="auto"/>
        <w:rPr>
          <w:rFonts w:ascii="Times New Roman" w:hAnsi="Times New Roman" w:cs="Times New Roman"/>
          <w:lang w:val="ru-RU"/>
        </w:rPr>
      </w:pPr>
      <w:r w:rsidRPr="006C27C6">
        <w:rPr>
          <w:rFonts w:ascii="Times New Roman" w:hAnsi="Times New Roman" w:cs="Times New Roman"/>
          <w:lang w:val="ru-RU"/>
        </w:rPr>
        <w:t>Комплаєнс-менеджер (керівник) зобов'язаний довести зміст даного Порядку до відома відповідних осіб.</w:t>
      </w:r>
    </w:p>
    <w:p w14:paraId="00F5FAEC" w14:textId="77777777" w:rsidR="006C27C6" w:rsidRPr="006C27C6" w:rsidRDefault="006C27C6" w:rsidP="0051218D">
      <w:pPr>
        <w:numPr>
          <w:ilvl w:val="0"/>
          <w:numId w:val="36"/>
        </w:numPr>
        <w:spacing w:line="240" w:lineRule="auto"/>
        <w:rPr>
          <w:rFonts w:ascii="Times New Roman" w:hAnsi="Times New Roman" w:cs="Times New Roman"/>
          <w:lang w:val="ru-RU"/>
        </w:rPr>
      </w:pPr>
      <w:r w:rsidRPr="006C27C6">
        <w:rPr>
          <w:rFonts w:ascii="Times New Roman" w:hAnsi="Times New Roman" w:cs="Times New Roman"/>
          <w:lang w:val="ru-RU"/>
        </w:rPr>
        <w:t>Комплаєнс-менеджер (керівник) здійснює контроль за виконанням встановлених в Інвестиційній фірмі правил і процедур, спрямованих на запобігання виникненню конфлікту інтересів і дотримання порядку проведення особистих угод.</w:t>
      </w:r>
    </w:p>
    <w:p w14:paraId="77A7D5DF" w14:textId="77777777" w:rsidR="006C27C6" w:rsidRPr="006C27C6" w:rsidRDefault="006C27C6" w:rsidP="0051218D">
      <w:pPr>
        <w:numPr>
          <w:ilvl w:val="0"/>
          <w:numId w:val="37"/>
        </w:numPr>
        <w:spacing w:line="240" w:lineRule="auto"/>
        <w:rPr>
          <w:rFonts w:ascii="Times New Roman" w:hAnsi="Times New Roman" w:cs="Times New Roman"/>
          <w:lang w:val="ru-RU"/>
        </w:rPr>
      </w:pPr>
      <w:r w:rsidRPr="006C27C6">
        <w:rPr>
          <w:rFonts w:ascii="Times New Roman" w:hAnsi="Times New Roman" w:cs="Times New Roman"/>
          <w:lang w:val="ru-RU"/>
        </w:rPr>
        <w:t>Функції комплаєнс-менеджера, зокрема, включають:</w:t>
      </w:r>
    </w:p>
    <w:p w14:paraId="7CC4B74F" w14:textId="77777777" w:rsidR="006C27C6" w:rsidRPr="006C27C6" w:rsidRDefault="006C27C6" w:rsidP="0051218D">
      <w:pPr>
        <w:numPr>
          <w:ilvl w:val="0"/>
          <w:numId w:val="38"/>
        </w:numPr>
        <w:spacing w:line="240" w:lineRule="auto"/>
        <w:rPr>
          <w:rFonts w:ascii="Times New Roman" w:hAnsi="Times New Roman" w:cs="Times New Roman"/>
          <w:lang w:val="ru-RU"/>
        </w:rPr>
      </w:pPr>
      <w:r w:rsidRPr="006C27C6">
        <w:rPr>
          <w:rFonts w:ascii="Times New Roman" w:hAnsi="Times New Roman" w:cs="Times New Roman"/>
          <w:lang w:val="ru-RU"/>
        </w:rPr>
        <w:t>координування та участь у процесі погодження укладання особистих угод;</w:t>
      </w:r>
    </w:p>
    <w:p w14:paraId="21B93B46" w14:textId="77777777" w:rsidR="006C27C6" w:rsidRPr="006C27C6" w:rsidRDefault="006C27C6" w:rsidP="0051218D">
      <w:pPr>
        <w:numPr>
          <w:ilvl w:val="0"/>
          <w:numId w:val="38"/>
        </w:numPr>
        <w:spacing w:line="240" w:lineRule="auto"/>
        <w:rPr>
          <w:rFonts w:ascii="Times New Roman" w:hAnsi="Times New Roman" w:cs="Times New Roman"/>
          <w:lang w:val="ru-RU"/>
        </w:rPr>
      </w:pPr>
      <w:r w:rsidRPr="006C27C6">
        <w:rPr>
          <w:rFonts w:ascii="Times New Roman" w:hAnsi="Times New Roman" w:cs="Times New Roman"/>
          <w:lang w:val="ru-RU"/>
        </w:rPr>
        <w:t>забезпечення формування звітів про особисті угоди на щоденній основі за допомогою програмного забезпечення і їх аналіз;</w:t>
      </w:r>
    </w:p>
    <w:p w14:paraId="5A23C3B8" w14:textId="77777777" w:rsidR="006C27C6" w:rsidRPr="006C27C6" w:rsidRDefault="006C27C6" w:rsidP="0051218D">
      <w:pPr>
        <w:numPr>
          <w:ilvl w:val="0"/>
          <w:numId w:val="38"/>
        </w:numPr>
        <w:spacing w:line="240" w:lineRule="auto"/>
        <w:rPr>
          <w:rFonts w:ascii="Times New Roman" w:hAnsi="Times New Roman" w:cs="Times New Roman"/>
          <w:lang w:val="ru-RU"/>
        </w:rPr>
      </w:pPr>
      <w:r w:rsidRPr="006C27C6">
        <w:rPr>
          <w:rFonts w:ascii="Times New Roman" w:hAnsi="Times New Roman" w:cs="Times New Roman"/>
          <w:lang w:val="ru-RU"/>
        </w:rPr>
        <w:t>анкетування працівників Інвестиційної фірми та пов’язаних агентів з метою обліку відповідних осіб та осіб, пов’язаних з відповідними особами близькими відносинами); систематизація отриманої за допомогою анкетування інформації;</w:t>
      </w:r>
    </w:p>
    <w:p w14:paraId="29185B23" w14:textId="77777777" w:rsidR="006C27C6" w:rsidRPr="006C27C6" w:rsidRDefault="006C27C6" w:rsidP="0051218D">
      <w:pPr>
        <w:numPr>
          <w:ilvl w:val="0"/>
          <w:numId w:val="38"/>
        </w:numPr>
        <w:spacing w:line="240" w:lineRule="auto"/>
        <w:rPr>
          <w:rFonts w:ascii="Times New Roman" w:hAnsi="Times New Roman" w:cs="Times New Roman"/>
          <w:lang w:val="ru-RU"/>
        </w:rPr>
      </w:pPr>
      <w:r w:rsidRPr="006C27C6">
        <w:rPr>
          <w:rFonts w:ascii="Times New Roman" w:hAnsi="Times New Roman" w:cs="Times New Roman"/>
          <w:lang w:val="ru-RU"/>
        </w:rPr>
        <w:t>ведення списку спостереження/ «watch list», списку обмеження/ «restricted list», списку залучених до угоди осіб/ «deal team list» та, за потреби, інших списків;</w:t>
      </w:r>
    </w:p>
    <w:p w14:paraId="266D19C5" w14:textId="77777777" w:rsidR="006C27C6" w:rsidRPr="006C27C6" w:rsidRDefault="006C27C6" w:rsidP="0051218D">
      <w:pPr>
        <w:numPr>
          <w:ilvl w:val="0"/>
          <w:numId w:val="38"/>
        </w:numPr>
        <w:spacing w:line="240" w:lineRule="auto"/>
        <w:rPr>
          <w:rFonts w:ascii="Times New Roman" w:hAnsi="Times New Roman" w:cs="Times New Roman"/>
          <w:lang w:val="ru-RU"/>
        </w:rPr>
      </w:pPr>
      <w:r w:rsidRPr="006C27C6">
        <w:rPr>
          <w:rFonts w:ascii="Times New Roman" w:hAnsi="Times New Roman" w:cs="Times New Roman"/>
          <w:lang w:val="ru-RU"/>
        </w:rPr>
        <w:t>відстеження несанкціонованого використання інсайдерської або іншої конфіденційної інформації;</w:t>
      </w:r>
    </w:p>
    <w:p w14:paraId="42825C0E" w14:textId="77777777" w:rsidR="006C27C6" w:rsidRPr="006C27C6" w:rsidRDefault="006C27C6" w:rsidP="0051218D">
      <w:pPr>
        <w:numPr>
          <w:ilvl w:val="0"/>
          <w:numId w:val="38"/>
        </w:numPr>
        <w:spacing w:line="240" w:lineRule="auto"/>
        <w:rPr>
          <w:rFonts w:ascii="Times New Roman" w:hAnsi="Times New Roman" w:cs="Times New Roman"/>
          <w:lang w:val="ru-RU"/>
        </w:rPr>
      </w:pPr>
      <w:r w:rsidRPr="006C27C6">
        <w:rPr>
          <w:rFonts w:ascii="Times New Roman" w:hAnsi="Times New Roman" w:cs="Times New Roman"/>
          <w:lang w:val="ru-RU"/>
        </w:rPr>
        <w:lastRenderedPageBreak/>
        <w:t>участь у підготовці посадових інструкцій в частині обов’язків при укладанні працівниками особистих угод.</w:t>
      </w:r>
    </w:p>
    <w:p w14:paraId="1E12557D" w14:textId="77777777" w:rsidR="006C27C6" w:rsidRPr="006C27C6" w:rsidRDefault="006C27C6" w:rsidP="0051218D">
      <w:pPr>
        <w:numPr>
          <w:ilvl w:val="0"/>
          <w:numId w:val="38"/>
        </w:numPr>
        <w:spacing w:line="240" w:lineRule="auto"/>
        <w:rPr>
          <w:rFonts w:ascii="Times New Roman" w:hAnsi="Times New Roman" w:cs="Times New Roman"/>
          <w:lang w:val="ru-RU"/>
        </w:rPr>
      </w:pPr>
      <w:r w:rsidRPr="006C27C6">
        <w:rPr>
          <w:rFonts w:ascii="Times New Roman" w:hAnsi="Times New Roman" w:cs="Times New Roman"/>
          <w:lang w:val="ru-RU"/>
        </w:rPr>
        <w:t>веде перелік типових ситуацій з ознаками конфлікту інтересів за участю відповідних осіб, за наявності яких проведення особистих угод в Інвестиційній фірмі заборонено, постійне його оновлення;</w:t>
      </w:r>
    </w:p>
    <w:p w14:paraId="40664C11" w14:textId="77777777" w:rsidR="006C27C6" w:rsidRPr="006C27C6" w:rsidRDefault="006C27C6" w:rsidP="0051218D">
      <w:pPr>
        <w:numPr>
          <w:ilvl w:val="0"/>
          <w:numId w:val="39"/>
        </w:numPr>
        <w:spacing w:line="240" w:lineRule="auto"/>
        <w:rPr>
          <w:rFonts w:ascii="Times New Roman" w:hAnsi="Times New Roman" w:cs="Times New Roman"/>
          <w:lang w:val="ru-RU"/>
        </w:rPr>
      </w:pPr>
      <w:r w:rsidRPr="006C27C6">
        <w:rPr>
          <w:rFonts w:ascii="Times New Roman" w:hAnsi="Times New Roman" w:cs="Times New Roman"/>
          <w:lang w:val="ru-RU"/>
        </w:rPr>
        <w:t> На комплаєнс-менеджера (керівника) покладається організація системи збереження записів про особисті угоди, щодо яких було повідомлено Інвестиційну фірму або які були виявлені нею, включаючи інформацію про будь-які дозволи або заборони щодо таких угод.</w:t>
      </w:r>
    </w:p>
    <w:p w14:paraId="2F80EFBC" w14:textId="77777777" w:rsidR="006C27C6" w:rsidRPr="006C27C6" w:rsidRDefault="006C27C6" w:rsidP="0051218D">
      <w:pPr>
        <w:numPr>
          <w:ilvl w:val="0"/>
          <w:numId w:val="40"/>
        </w:numPr>
        <w:spacing w:line="240" w:lineRule="auto"/>
        <w:rPr>
          <w:rFonts w:ascii="Times New Roman" w:hAnsi="Times New Roman" w:cs="Times New Roman"/>
          <w:lang w:val="ru-RU"/>
        </w:rPr>
      </w:pPr>
      <w:r w:rsidRPr="006C27C6">
        <w:rPr>
          <w:rFonts w:ascii="Times New Roman" w:hAnsi="Times New Roman" w:cs="Times New Roman"/>
          <w:lang w:val="ru-RU"/>
        </w:rPr>
        <w:t>   Відповідні особи несуть адміністративну та цивільну відповідальність за недотримання цього Положення відповідно до вимог законодавства. Інвестиційна фірма має право стягнути з винних осіб усі витрати та/або збитки, що будуть спричинені Інвестиційній фірмі або її посадовим особам винними діями відповідних осіб, зокрема, порушенням положень цього Положення або законодавства щодо регулювання ринків капіталу.</w:t>
      </w:r>
    </w:p>
    <w:p w14:paraId="0079C4AF" w14:textId="77777777" w:rsidR="006C27C6" w:rsidRPr="006C27C6" w:rsidRDefault="006C27C6" w:rsidP="0051218D">
      <w:pPr>
        <w:numPr>
          <w:ilvl w:val="0"/>
          <w:numId w:val="41"/>
        </w:numPr>
        <w:spacing w:line="240" w:lineRule="auto"/>
        <w:rPr>
          <w:rFonts w:ascii="Times New Roman" w:hAnsi="Times New Roman" w:cs="Times New Roman"/>
          <w:lang w:val="ru-RU"/>
        </w:rPr>
      </w:pPr>
      <w:r w:rsidRPr="006C27C6">
        <w:rPr>
          <w:rFonts w:ascii="Times New Roman" w:hAnsi="Times New Roman" w:cs="Times New Roman"/>
          <w:lang w:val="ru-RU"/>
        </w:rPr>
        <w:t>Фінансові аналітики та інші відповідні особи не можуть укладати особисті угоди чи вчиняти інші правочини (крім як при виконанні функцій маркет-мейкерів згідно законодавства або при виконанні розпорядження клієнта, наданого за самостійною ініціативою такого клієнта, в інтересах будь-якої іншої особи, включаючи іншу інвестиційну фірму) щодо фінансових інструментів, яких стосується інвестиційне дослідження, або будь-яких пов'язаних фінансових інструментів (фінансових інструментів, на ціну яких значною мірою впливає зміна цін на фінансові інструменти, які є предметом інвестиційного дослідження, до яких відносяться деривативи на такі фінансові інструменти), виходячи з розуміння про імовірний строк підготовки та/або зміст інвестиційного дослідження, яке не є публічно доступним або доступним клієнтам і зміст якого не є очевидним з інформації, яка є доступною, поки особи, серед яких розповсюджуватиметься це інвестиційне дослідження, не матимуть достатньої можливості діяти відповідно до такого дослідження. </w:t>
      </w:r>
    </w:p>
    <w:p w14:paraId="5A7B28B1" w14:textId="77777777" w:rsidR="006C27C6" w:rsidRPr="006C27C6" w:rsidRDefault="006C27C6" w:rsidP="00492B8D">
      <w:pPr>
        <w:spacing w:line="240" w:lineRule="auto"/>
        <w:ind w:firstLine="720"/>
        <w:rPr>
          <w:rFonts w:ascii="Times New Roman" w:hAnsi="Times New Roman" w:cs="Times New Roman"/>
          <w:lang w:val="ru-RU"/>
        </w:rPr>
      </w:pPr>
      <w:r w:rsidRPr="006C27C6">
        <w:rPr>
          <w:rFonts w:ascii="Times New Roman" w:hAnsi="Times New Roman" w:cs="Times New Roman"/>
          <w:lang w:val="ru-RU"/>
        </w:rPr>
        <w:t>В обставинах, не зазначених у попередньому абзаці, фінансові аналітики та будь-які інші відповідні особи, що беруть участь у підготовці інвестиційного дослідження, не повинні укладати особисті угоди щодо фінансових інструментів, яких стосується інвестиційне дослідження або будь-яких пов'язаних фінансових інструментів, всупереч цим рекомендаціям, окрім виняткових обставин за умови попереднього погодження комплаєнс менеджером (керівником).</w:t>
      </w:r>
    </w:p>
    <w:p w14:paraId="3162BCBB" w14:textId="77777777" w:rsidR="000C07A8" w:rsidRPr="006C27C6" w:rsidRDefault="000C07A8" w:rsidP="0051218D">
      <w:pPr>
        <w:spacing w:line="240" w:lineRule="auto"/>
        <w:rPr>
          <w:rFonts w:ascii="Times New Roman" w:hAnsi="Times New Roman" w:cs="Times New Roman"/>
          <w:lang w:val="ru-RU"/>
        </w:rPr>
      </w:pPr>
    </w:p>
    <w:sectPr w:rsidR="000C07A8" w:rsidRPr="006C27C6" w:rsidSect="00825B43">
      <w:footerReference w:type="default" r:id="rId7"/>
      <w:pgSz w:w="12240" w:h="15840"/>
      <w:pgMar w:top="709" w:right="616" w:bottom="567"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C65C6" w14:textId="77777777" w:rsidR="001F1A09" w:rsidRDefault="001F1A09" w:rsidP="00825B43">
      <w:pPr>
        <w:spacing w:after="0" w:line="240" w:lineRule="auto"/>
      </w:pPr>
      <w:r>
        <w:separator/>
      </w:r>
    </w:p>
  </w:endnote>
  <w:endnote w:type="continuationSeparator" w:id="0">
    <w:p w14:paraId="54F51260" w14:textId="77777777" w:rsidR="001F1A09" w:rsidRDefault="001F1A09" w:rsidP="0082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1646830"/>
      <w:docPartObj>
        <w:docPartGallery w:val="Page Numbers (Bottom of Page)"/>
        <w:docPartUnique/>
      </w:docPartObj>
    </w:sdtPr>
    <w:sdtContent>
      <w:p w14:paraId="1DEA9686" w14:textId="708FC50A" w:rsidR="00825B43" w:rsidRDefault="00825B43">
        <w:pPr>
          <w:pStyle w:val="ae"/>
          <w:jc w:val="right"/>
        </w:pPr>
        <w:r>
          <w:fldChar w:fldCharType="begin"/>
        </w:r>
        <w:r>
          <w:instrText>PAGE   \* MERGEFORMAT</w:instrText>
        </w:r>
        <w:r>
          <w:fldChar w:fldCharType="separate"/>
        </w:r>
        <w:r>
          <w:rPr>
            <w:lang w:val="ru-RU"/>
          </w:rPr>
          <w:t>2</w:t>
        </w:r>
        <w:r>
          <w:fldChar w:fldCharType="end"/>
        </w:r>
      </w:p>
    </w:sdtContent>
  </w:sdt>
  <w:p w14:paraId="5B4E89B8" w14:textId="77777777" w:rsidR="00825B43" w:rsidRDefault="00825B43">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5F9F6" w14:textId="77777777" w:rsidR="001F1A09" w:rsidRDefault="001F1A09" w:rsidP="00825B43">
      <w:pPr>
        <w:spacing w:after="0" w:line="240" w:lineRule="auto"/>
      </w:pPr>
      <w:r>
        <w:separator/>
      </w:r>
    </w:p>
  </w:footnote>
  <w:footnote w:type="continuationSeparator" w:id="0">
    <w:p w14:paraId="3988E315" w14:textId="77777777" w:rsidR="001F1A09" w:rsidRDefault="001F1A09" w:rsidP="00825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E332D"/>
    <w:multiLevelType w:val="multilevel"/>
    <w:tmpl w:val="216ED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A1F94"/>
    <w:multiLevelType w:val="multilevel"/>
    <w:tmpl w:val="64D22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FD7769"/>
    <w:multiLevelType w:val="multilevel"/>
    <w:tmpl w:val="A182876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A73238"/>
    <w:multiLevelType w:val="multilevel"/>
    <w:tmpl w:val="945CF2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6E3B0C"/>
    <w:multiLevelType w:val="multilevel"/>
    <w:tmpl w:val="F2BC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842802"/>
    <w:multiLevelType w:val="multilevel"/>
    <w:tmpl w:val="1FE86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8D60B2"/>
    <w:multiLevelType w:val="multilevel"/>
    <w:tmpl w:val="A4A4C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075C25"/>
    <w:multiLevelType w:val="multilevel"/>
    <w:tmpl w:val="A25ADA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AE6B4A"/>
    <w:multiLevelType w:val="multilevel"/>
    <w:tmpl w:val="A10A673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873590"/>
    <w:multiLevelType w:val="multilevel"/>
    <w:tmpl w:val="0E0C4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F52213"/>
    <w:multiLevelType w:val="multilevel"/>
    <w:tmpl w:val="D65E6A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8F438F"/>
    <w:multiLevelType w:val="multilevel"/>
    <w:tmpl w:val="EC5AFF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1B65AE"/>
    <w:multiLevelType w:val="multilevel"/>
    <w:tmpl w:val="2FC04C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3808D8"/>
    <w:multiLevelType w:val="multilevel"/>
    <w:tmpl w:val="1188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795EA7"/>
    <w:multiLevelType w:val="multilevel"/>
    <w:tmpl w:val="EE164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294BA2"/>
    <w:multiLevelType w:val="multilevel"/>
    <w:tmpl w:val="B0FE77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B64B4A"/>
    <w:multiLevelType w:val="multilevel"/>
    <w:tmpl w:val="2D6E3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7235A79"/>
    <w:multiLevelType w:val="multilevel"/>
    <w:tmpl w:val="482C49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5D7BF3"/>
    <w:multiLevelType w:val="multilevel"/>
    <w:tmpl w:val="EE6096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9D06EA1"/>
    <w:multiLevelType w:val="multilevel"/>
    <w:tmpl w:val="D22A3DA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3E179A"/>
    <w:multiLevelType w:val="multilevel"/>
    <w:tmpl w:val="5A328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1218339">
    <w:abstractNumId w:val="9"/>
  </w:num>
  <w:num w:numId="2" w16cid:durableId="1257516499">
    <w:abstractNumId w:val="16"/>
  </w:num>
  <w:num w:numId="3" w16cid:durableId="1206681391">
    <w:abstractNumId w:val="2"/>
    <w:lvlOverride w:ilvl="0">
      <w:lvl w:ilvl="0">
        <w:numFmt w:val="decimal"/>
        <w:lvlText w:val="%1."/>
        <w:lvlJc w:val="left"/>
      </w:lvl>
    </w:lvlOverride>
  </w:num>
  <w:num w:numId="4" w16cid:durableId="1510683340">
    <w:abstractNumId w:val="13"/>
  </w:num>
  <w:num w:numId="5" w16cid:durableId="319121652">
    <w:abstractNumId w:val="11"/>
    <w:lvlOverride w:ilvl="0">
      <w:lvl w:ilvl="0">
        <w:numFmt w:val="decimal"/>
        <w:lvlText w:val="%1."/>
        <w:lvlJc w:val="left"/>
      </w:lvl>
    </w:lvlOverride>
  </w:num>
  <w:num w:numId="6" w16cid:durableId="1107391060">
    <w:abstractNumId w:val="11"/>
    <w:lvlOverride w:ilvl="0">
      <w:lvl w:ilvl="0">
        <w:numFmt w:val="decimal"/>
        <w:lvlText w:val="%1."/>
        <w:lvlJc w:val="left"/>
      </w:lvl>
    </w:lvlOverride>
  </w:num>
  <w:num w:numId="7" w16cid:durableId="1295519722">
    <w:abstractNumId w:val="11"/>
    <w:lvlOverride w:ilvl="0">
      <w:lvl w:ilvl="0">
        <w:numFmt w:val="decimal"/>
        <w:lvlText w:val="%1."/>
        <w:lvlJc w:val="left"/>
      </w:lvl>
    </w:lvlOverride>
  </w:num>
  <w:num w:numId="8" w16cid:durableId="1647709381">
    <w:abstractNumId w:val="20"/>
  </w:num>
  <w:num w:numId="9" w16cid:durableId="557865330">
    <w:abstractNumId w:val="6"/>
  </w:num>
  <w:num w:numId="10" w16cid:durableId="410810839">
    <w:abstractNumId w:val="17"/>
  </w:num>
  <w:num w:numId="11" w16cid:durableId="315500655">
    <w:abstractNumId w:val="17"/>
    <w:lvlOverride w:ilvl="1">
      <w:lvl w:ilvl="1">
        <w:numFmt w:val="bullet"/>
        <w:lvlText w:val=""/>
        <w:lvlJc w:val="left"/>
        <w:pPr>
          <w:tabs>
            <w:tab w:val="num" w:pos="1440"/>
          </w:tabs>
          <w:ind w:left="1440" w:hanging="360"/>
        </w:pPr>
        <w:rPr>
          <w:rFonts w:ascii="Symbol" w:hAnsi="Symbol" w:hint="default"/>
          <w:sz w:val="20"/>
        </w:rPr>
      </w:lvl>
    </w:lvlOverride>
  </w:num>
  <w:num w:numId="12" w16cid:durableId="19282749">
    <w:abstractNumId w:val="17"/>
    <w:lvlOverride w:ilvl="1">
      <w:lvl w:ilvl="1">
        <w:numFmt w:val="bullet"/>
        <w:lvlText w:val=""/>
        <w:lvlJc w:val="left"/>
        <w:pPr>
          <w:tabs>
            <w:tab w:val="num" w:pos="1440"/>
          </w:tabs>
          <w:ind w:left="1440" w:hanging="360"/>
        </w:pPr>
        <w:rPr>
          <w:rFonts w:ascii="Symbol" w:hAnsi="Symbol" w:hint="default"/>
          <w:sz w:val="20"/>
        </w:rPr>
      </w:lvl>
    </w:lvlOverride>
  </w:num>
  <w:num w:numId="13" w16cid:durableId="1889874580">
    <w:abstractNumId w:val="17"/>
    <w:lvlOverride w:ilvl="1">
      <w:lvl w:ilvl="1">
        <w:numFmt w:val="bullet"/>
        <w:lvlText w:val=""/>
        <w:lvlJc w:val="left"/>
        <w:pPr>
          <w:tabs>
            <w:tab w:val="num" w:pos="1440"/>
          </w:tabs>
          <w:ind w:left="1440" w:hanging="360"/>
        </w:pPr>
        <w:rPr>
          <w:rFonts w:ascii="Symbol" w:hAnsi="Symbol" w:hint="default"/>
          <w:sz w:val="20"/>
        </w:rPr>
      </w:lvl>
    </w:lvlOverride>
  </w:num>
  <w:num w:numId="14" w16cid:durableId="1247687580">
    <w:abstractNumId w:val="17"/>
    <w:lvlOverride w:ilvl="1">
      <w:lvl w:ilvl="1">
        <w:numFmt w:val="bullet"/>
        <w:lvlText w:val=""/>
        <w:lvlJc w:val="left"/>
        <w:pPr>
          <w:tabs>
            <w:tab w:val="num" w:pos="1440"/>
          </w:tabs>
          <w:ind w:left="1440" w:hanging="360"/>
        </w:pPr>
        <w:rPr>
          <w:rFonts w:ascii="Symbol" w:hAnsi="Symbol" w:hint="default"/>
          <w:sz w:val="20"/>
        </w:rPr>
      </w:lvl>
    </w:lvlOverride>
  </w:num>
  <w:num w:numId="15" w16cid:durableId="1205632727">
    <w:abstractNumId w:val="17"/>
    <w:lvlOverride w:ilvl="1">
      <w:lvl w:ilvl="1">
        <w:numFmt w:val="bullet"/>
        <w:lvlText w:val=""/>
        <w:lvlJc w:val="left"/>
        <w:pPr>
          <w:tabs>
            <w:tab w:val="num" w:pos="1440"/>
          </w:tabs>
          <w:ind w:left="1440" w:hanging="360"/>
        </w:pPr>
        <w:rPr>
          <w:rFonts w:ascii="Symbol" w:hAnsi="Symbol" w:hint="default"/>
          <w:sz w:val="20"/>
        </w:rPr>
      </w:lvl>
    </w:lvlOverride>
  </w:num>
  <w:num w:numId="16" w16cid:durableId="1164855926">
    <w:abstractNumId w:val="17"/>
    <w:lvlOverride w:ilvl="1">
      <w:lvl w:ilvl="1">
        <w:numFmt w:val="bullet"/>
        <w:lvlText w:val=""/>
        <w:lvlJc w:val="left"/>
        <w:pPr>
          <w:tabs>
            <w:tab w:val="num" w:pos="1440"/>
          </w:tabs>
          <w:ind w:left="1440" w:hanging="360"/>
        </w:pPr>
        <w:rPr>
          <w:rFonts w:ascii="Symbol" w:hAnsi="Symbol" w:hint="default"/>
          <w:sz w:val="20"/>
        </w:rPr>
      </w:lvl>
    </w:lvlOverride>
  </w:num>
  <w:num w:numId="17" w16cid:durableId="998120213">
    <w:abstractNumId w:val="17"/>
    <w:lvlOverride w:ilvl="1">
      <w:lvl w:ilvl="1">
        <w:numFmt w:val="bullet"/>
        <w:lvlText w:val=""/>
        <w:lvlJc w:val="left"/>
        <w:pPr>
          <w:tabs>
            <w:tab w:val="num" w:pos="1440"/>
          </w:tabs>
          <w:ind w:left="1440" w:hanging="360"/>
        </w:pPr>
        <w:rPr>
          <w:rFonts w:ascii="Symbol" w:hAnsi="Symbol" w:hint="default"/>
          <w:sz w:val="20"/>
        </w:rPr>
      </w:lvl>
    </w:lvlOverride>
  </w:num>
  <w:num w:numId="18" w16cid:durableId="1055659277">
    <w:abstractNumId w:val="17"/>
    <w:lvlOverride w:ilvl="1">
      <w:lvl w:ilvl="1">
        <w:numFmt w:val="bullet"/>
        <w:lvlText w:val=""/>
        <w:lvlJc w:val="left"/>
        <w:pPr>
          <w:tabs>
            <w:tab w:val="num" w:pos="1440"/>
          </w:tabs>
          <w:ind w:left="1440" w:hanging="360"/>
        </w:pPr>
        <w:rPr>
          <w:rFonts w:ascii="Symbol" w:hAnsi="Symbol" w:hint="default"/>
          <w:sz w:val="20"/>
        </w:rPr>
      </w:lvl>
    </w:lvlOverride>
  </w:num>
  <w:num w:numId="19" w16cid:durableId="667948062">
    <w:abstractNumId w:val="0"/>
  </w:num>
  <w:num w:numId="20" w16cid:durableId="1947155198">
    <w:abstractNumId w:val="10"/>
    <w:lvlOverride w:ilvl="0">
      <w:lvl w:ilvl="0">
        <w:numFmt w:val="decimal"/>
        <w:lvlText w:val="%1."/>
        <w:lvlJc w:val="left"/>
      </w:lvl>
    </w:lvlOverride>
  </w:num>
  <w:num w:numId="21" w16cid:durableId="10298903">
    <w:abstractNumId w:val="7"/>
    <w:lvlOverride w:ilvl="0">
      <w:lvl w:ilvl="0">
        <w:numFmt w:val="decimal"/>
        <w:lvlText w:val="%1."/>
        <w:lvlJc w:val="left"/>
      </w:lvl>
    </w:lvlOverride>
  </w:num>
  <w:num w:numId="22" w16cid:durableId="1432505680">
    <w:abstractNumId w:val="1"/>
  </w:num>
  <w:num w:numId="23" w16cid:durableId="170727929">
    <w:abstractNumId w:val="3"/>
    <w:lvlOverride w:ilvl="0">
      <w:lvl w:ilvl="0">
        <w:numFmt w:val="decimal"/>
        <w:lvlText w:val="%1."/>
        <w:lvlJc w:val="left"/>
      </w:lvl>
    </w:lvlOverride>
  </w:num>
  <w:num w:numId="24" w16cid:durableId="1818302156">
    <w:abstractNumId w:val="3"/>
    <w:lvlOverride w:ilvl="0">
      <w:lvl w:ilvl="0">
        <w:numFmt w:val="decimal"/>
        <w:lvlText w:val="%1."/>
        <w:lvlJc w:val="left"/>
      </w:lvl>
    </w:lvlOverride>
  </w:num>
  <w:num w:numId="25" w16cid:durableId="661354981">
    <w:abstractNumId w:val="14"/>
  </w:num>
  <w:num w:numId="26" w16cid:durableId="1300915238">
    <w:abstractNumId w:val="18"/>
    <w:lvlOverride w:ilvl="0">
      <w:lvl w:ilvl="0">
        <w:numFmt w:val="decimal"/>
        <w:lvlText w:val="%1."/>
        <w:lvlJc w:val="left"/>
      </w:lvl>
    </w:lvlOverride>
  </w:num>
  <w:num w:numId="27" w16cid:durableId="116922971">
    <w:abstractNumId w:val="5"/>
  </w:num>
  <w:num w:numId="28" w16cid:durableId="1265306668">
    <w:abstractNumId w:val="15"/>
    <w:lvlOverride w:ilvl="0">
      <w:lvl w:ilvl="0">
        <w:numFmt w:val="decimal"/>
        <w:lvlText w:val="%1."/>
        <w:lvlJc w:val="left"/>
      </w:lvl>
    </w:lvlOverride>
  </w:num>
  <w:num w:numId="29" w16cid:durableId="1699508563">
    <w:abstractNumId w:val="15"/>
    <w:lvlOverride w:ilvl="0">
      <w:lvl w:ilvl="0">
        <w:numFmt w:val="decimal"/>
        <w:lvlText w:val="%1."/>
        <w:lvlJc w:val="left"/>
      </w:lvl>
    </w:lvlOverride>
  </w:num>
  <w:num w:numId="30" w16cid:durableId="2010405513">
    <w:abstractNumId w:val="12"/>
    <w:lvlOverride w:ilvl="0">
      <w:lvl w:ilvl="0">
        <w:numFmt w:val="decimal"/>
        <w:lvlText w:val="%1."/>
        <w:lvlJc w:val="left"/>
      </w:lvl>
    </w:lvlOverride>
  </w:num>
  <w:num w:numId="31" w16cid:durableId="1549876147">
    <w:abstractNumId w:val="19"/>
    <w:lvlOverride w:ilvl="0">
      <w:lvl w:ilvl="0">
        <w:numFmt w:val="decimal"/>
        <w:lvlText w:val="%1."/>
        <w:lvlJc w:val="left"/>
      </w:lvl>
    </w:lvlOverride>
  </w:num>
  <w:num w:numId="32" w16cid:durableId="1088694530">
    <w:abstractNumId w:val="19"/>
    <w:lvlOverride w:ilvl="0">
      <w:lvl w:ilvl="0">
        <w:numFmt w:val="decimal"/>
        <w:lvlText w:val="%1."/>
        <w:lvlJc w:val="left"/>
      </w:lvl>
    </w:lvlOverride>
  </w:num>
  <w:num w:numId="33" w16cid:durableId="754936360">
    <w:abstractNumId w:val="19"/>
    <w:lvlOverride w:ilvl="0">
      <w:lvl w:ilvl="0">
        <w:numFmt w:val="decimal"/>
        <w:lvlText w:val="%1."/>
        <w:lvlJc w:val="left"/>
      </w:lvl>
    </w:lvlOverride>
  </w:num>
  <w:num w:numId="34" w16cid:durableId="1468625315">
    <w:abstractNumId w:val="19"/>
    <w:lvlOverride w:ilvl="0">
      <w:lvl w:ilvl="0">
        <w:numFmt w:val="decimal"/>
        <w:lvlText w:val="%1."/>
        <w:lvlJc w:val="left"/>
      </w:lvl>
    </w:lvlOverride>
  </w:num>
  <w:num w:numId="35" w16cid:durableId="639503003">
    <w:abstractNumId w:val="19"/>
    <w:lvlOverride w:ilvl="0">
      <w:lvl w:ilvl="0">
        <w:numFmt w:val="decimal"/>
        <w:lvlText w:val="%1."/>
        <w:lvlJc w:val="left"/>
      </w:lvl>
    </w:lvlOverride>
  </w:num>
  <w:num w:numId="36" w16cid:durableId="376705579">
    <w:abstractNumId w:val="19"/>
    <w:lvlOverride w:ilvl="0">
      <w:lvl w:ilvl="0">
        <w:numFmt w:val="decimal"/>
        <w:lvlText w:val="%1."/>
        <w:lvlJc w:val="left"/>
      </w:lvl>
    </w:lvlOverride>
  </w:num>
  <w:num w:numId="37" w16cid:durableId="1147666964">
    <w:abstractNumId w:val="19"/>
    <w:lvlOverride w:ilvl="0">
      <w:lvl w:ilvl="0">
        <w:numFmt w:val="decimal"/>
        <w:lvlText w:val="%1."/>
        <w:lvlJc w:val="left"/>
      </w:lvl>
    </w:lvlOverride>
  </w:num>
  <w:num w:numId="38" w16cid:durableId="1143935918">
    <w:abstractNumId w:val="4"/>
  </w:num>
  <w:num w:numId="39" w16cid:durableId="1072854338">
    <w:abstractNumId w:val="8"/>
    <w:lvlOverride w:ilvl="0">
      <w:lvl w:ilvl="0">
        <w:numFmt w:val="decimal"/>
        <w:lvlText w:val="%1."/>
        <w:lvlJc w:val="left"/>
      </w:lvl>
    </w:lvlOverride>
  </w:num>
  <w:num w:numId="40" w16cid:durableId="1978871703">
    <w:abstractNumId w:val="8"/>
    <w:lvlOverride w:ilvl="0">
      <w:lvl w:ilvl="0">
        <w:numFmt w:val="decimal"/>
        <w:lvlText w:val="%1."/>
        <w:lvlJc w:val="left"/>
      </w:lvl>
    </w:lvlOverride>
  </w:num>
  <w:num w:numId="41" w16cid:durableId="860777470">
    <w:abstractNumId w:val="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771"/>
    <w:rsid w:val="0008204B"/>
    <w:rsid w:val="000C07A8"/>
    <w:rsid w:val="001F1A09"/>
    <w:rsid w:val="003B270C"/>
    <w:rsid w:val="003D5FCD"/>
    <w:rsid w:val="00492B8D"/>
    <w:rsid w:val="0051218D"/>
    <w:rsid w:val="005D41C8"/>
    <w:rsid w:val="00654C46"/>
    <w:rsid w:val="006B5336"/>
    <w:rsid w:val="006C27C6"/>
    <w:rsid w:val="007A5C7C"/>
    <w:rsid w:val="0081371A"/>
    <w:rsid w:val="00825B43"/>
    <w:rsid w:val="00915346"/>
    <w:rsid w:val="0098676F"/>
    <w:rsid w:val="009A1F97"/>
    <w:rsid w:val="009C3E6E"/>
    <w:rsid w:val="00B42A4F"/>
    <w:rsid w:val="00B83742"/>
    <w:rsid w:val="00B84310"/>
    <w:rsid w:val="00D765FF"/>
    <w:rsid w:val="00EE7771"/>
    <w:rsid w:val="00F84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3E355"/>
  <w15:chartTrackingRefBased/>
  <w15:docId w15:val="{5EA2124A-786B-4625-B9F8-91F4E6ACB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E77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E77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E777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E777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E777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E777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E777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E777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E777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77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E777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E777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E777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E777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E777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E7771"/>
    <w:rPr>
      <w:rFonts w:eastAsiaTheme="majorEastAsia" w:cstheme="majorBidi"/>
      <w:color w:val="595959" w:themeColor="text1" w:themeTint="A6"/>
    </w:rPr>
  </w:style>
  <w:style w:type="character" w:customStyle="1" w:styleId="80">
    <w:name w:val="Заголовок 8 Знак"/>
    <w:basedOn w:val="a0"/>
    <w:link w:val="8"/>
    <w:uiPriority w:val="9"/>
    <w:semiHidden/>
    <w:rsid w:val="00EE777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E7771"/>
    <w:rPr>
      <w:rFonts w:eastAsiaTheme="majorEastAsia" w:cstheme="majorBidi"/>
      <w:color w:val="272727" w:themeColor="text1" w:themeTint="D8"/>
    </w:rPr>
  </w:style>
  <w:style w:type="paragraph" w:styleId="a3">
    <w:name w:val="Title"/>
    <w:basedOn w:val="a"/>
    <w:next w:val="a"/>
    <w:link w:val="a4"/>
    <w:uiPriority w:val="10"/>
    <w:qFormat/>
    <w:rsid w:val="00EE77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E7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777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E777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E7771"/>
    <w:pPr>
      <w:spacing w:before="160"/>
      <w:jc w:val="center"/>
    </w:pPr>
    <w:rPr>
      <w:i/>
      <w:iCs/>
      <w:color w:val="404040" w:themeColor="text1" w:themeTint="BF"/>
    </w:rPr>
  </w:style>
  <w:style w:type="character" w:customStyle="1" w:styleId="22">
    <w:name w:val="Цитата 2 Знак"/>
    <w:basedOn w:val="a0"/>
    <w:link w:val="21"/>
    <w:uiPriority w:val="29"/>
    <w:rsid w:val="00EE7771"/>
    <w:rPr>
      <w:i/>
      <w:iCs/>
      <w:color w:val="404040" w:themeColor="text1" w:themeTint="BF"/>
    </w:rPr>
  </w:style>
  <w:style w:type="paragraph" w:styleId="a7">
    <w:name w:val="List Paragraph"/>
    <w:basedOn w:val="a"/>
    <w:uiPriority w:val="34"/>
    <w:qFormat/>
    <w:rsid w:val="00EE7771"/>
    <w:pPr>
      <w:ind w:left="720"/>
      <w:contextualSpacing/>
    </w:pPr>
  </w:style>
  <w:style w:type="character" w:styleId="a8">
    <w:name w:val="Intense Emphasis"/>
    <w:basedOn w:val="a0"/>
    <w:uiPriority w:val="21"/>
    <w:qFormat/>
    <w:rsid w:val="00EE7771"/>
    <w:rPr>
      <w:i/>
      <w:iCs/>
      <w:color w:val="2F5496" w:themeColor="accent1" w:themeShade="BF"/>
    </w:rPr>
  </w:style>
  <w:style w:type="paragraph" w:styleId="a9">
    <w:name w:val="Intense Quote"/>
    <w:basedOn w:val="a"/>
    <w:next w:val="a"/>
    <w:link w:val="aa"/>
    <w:uiPriority w:val="30"/>
    <w:qFormat/>
    <w:rsid w:val="00EE77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E7771"/>
    <w:rPr>
      <w:i/>
      <w:iCs/>
      <w:color w:val="2F5496" w:themeColor="accent1" w:themeShade="BF"/>
    </w:rPr>
  </w:style>
  <w:style w:type="character" w:styleId="ab">
    <w:name w:val="Intense Reference"/>
    <w:basedOn w:val="a0"/>
    <w:uiPriority w:val="32"/>
    <w:qFormat/>
    <w:rsid w:val="00EE7771"/>
    <w:rPr>
      <w:b/>
      <w:bCs/>
      <w:smallCaps/>
      <w:color w:val="2F5496" w:themeColor="accent1" w:themeShade="BF"/>
      <w:spacing w:val="5"/>
    </w:rPr>
  </w:style>
  <w:style w:type="paragraph" w:styleId="ac">
    <w:name w:val="header"/>
    <w:basedOn w:val="a"/>
    <w:link w:val="ad"/>
    <w:uiPriority w:val="99"/>
    <w:unhideWhenUsed/>
    <w:rsid w:val="00825B4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25B43"/>
  </w:style>
  <w:style w:type="paragraph" w:styleId="ae">
    <w:name w:val="footer"/>
    <w:basedOn w:val="a"/>
    <w:link w:val="af"/>
    <w:uiPriority w:val="99"/>
    <w:unhideWhenUsed/>
    <w:rsid w:val="00825B4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25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44124">
      <w:bodyDiv w:val="1"/>
      <w:marLeft w:val="0"/>
      <w:marRight w:val="0"/>
      <w:marTop w:val="0"/>
      <w:marBottom w:val="0"/>
      <w:divBdr>
        <w:top w:val="none" w:sz="0" w:space="0" w:color="auto"/>
        <w:left w:val="none" w:sz="0" w:space="0" w:color="auto"/>
        <w:bottom w:val="none" w:sz="0" w:space="0" w:color="auto"/>
        <w:right w:val="none" w:sz="0" w:space="0" w:color="auto"/>
      </w:divBdr>
    </w:div>
    <w:div w:id="1061177452">
      <w:bodyDiv w:val="1"/>
      <w:marLeft w:val="0"/>
      <w:marRight w:val="0"/>
      <w:marTop w:val="0"/>
      <w:marBottom w:val="0"/>
      <w:divBdr>
        <w:top w:val="none" w:sz="0" w:space="0" w:color="auto"/>
        <w:left w:val="none" w:sz="0" w:space="0" w:color="auto"/>
        <w:bottom w:val="none" w:sz="0" w:space="0" w:color="auto"/>
        <w:right w:val="none" w:sz="0" w:space="0" w:color="auto"/>
      </w:divBdr>
    </w:div>
    <w:div w:id="1152254159">
      <w:bodyDiv w:val="1"/>
      <w:marLeft w:val="0"/>
      <w:marRight w:val="0"/>
      <w:marTop w:val="0"/>
      <w:marBottom w:val="0"/>
      <w:divBdr>
        <w:top w:val="none" w:sz="0" w:space="0" w:color="auto"/>
        <w:left w:val="none" w:sz="0" w:space="0" w:color="auto"/>
        <w:bottom w:val="none" w:sz="0" w:space="0" w:color="auto"/>
        <w:right w:val="none" w:sz="0" w:space="0" w:color="auto"/>
      </w:divBdr>
    </w:div>
    <w:div w:id="1542017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1860</Words>
  <Characters>10605</Characters>
  <Application>Microsoft Office Word</Application>
  <DocSecurity>0</DocSecurity>
  <Lines>88</Lines>
  <Paragraphs>24</Paragraphs>
  <ScaleCrop>false</ScaleCrop>
  <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2025-03-10T11:47:00Z</dcterms:created>
  <dcterms:modified xsi:type="dcterms:W3CDTF">2025-03-26T17:22:00Z</dcterms:modified>
</cp:coreProperties>
</file>