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9EE5" w14:textId="77777777" w:rsidR="00DC457E" w:rsidRPr="007C00BE" w:rsidRDefault="00DC457E" w:rsidP="00DC457E">
      <w:pPr>
        <w:pStyle w:val="a7"/>
        <w:ind w:left="5103"/>
        <w:rPr>
          <w:rFonts w:ascii="Times New Roman" w:hAnsi="Times New Roman" w:cs="Times New Roman"/>
          <w:b/>
          <w:bCs/>
          <w:lang w:val="ru-RU"/>
        </w:rPr>
      </w:pPr>
      <w:bookmarkStart w:id="0" w:name="_Hlk192789625"/>
      <w:r w:rsidRPr="007C00BE">
        <w:rPr>
          <w:rFonts w:ascii="Times New Roman" w:hAnsi="Times New Roman" w:cs="Times New Roman"/>
          <w:b/>
          <w:bCs/>
          <w:lang w:val="ru-RU"/>
        </w:rPr>
        <w:t>«ЗАТВЕРДЖЕНО»</w:t>
      </w:r>
    </w:p>
    <w:p w14:paraId="2F866AAB" w14:textId="77777777" w:rsidR="00DC457E" w:rsidRPr="007C00BE" w:rsidRDefault="00DC457E" w:rsidP="00DC457E">
      <w:pPr>
        <w:pStyle w:val="a7"/>
        <w:ind w:left="5103"/>
        <w:rPr>
          <w:rFonts w:ascii="Times New Roman" w:hAnsi="Times New Roman" w:cs="Times New Roman"/>
          <w:b/>
          <w:bCs/>
          <w:lang w:val="ru-RU"/>
        </w:rPr>
      </w:pPr>
      <w:r w:rsidRPr="007C00BE">
        <w:rPr>
          <w:rFonts w:ascii="Times New Roman" w:hAnsi="Times New Roman" w:cs="Times New Roman"/>
          <w:b/>
          <w:bCs/>
          <w:lang w:val="ru-RU"/>
        </w:rPr>
        <w:t>Директор</w:t>
      </w:r>
    </w:p>
    <w:p w14:paraId="52B6F3CB" w14:textId="77777777" w:rsidR="00DC457E" w:rsidRPr="007C00BE" w:rsidRDefault="00DC457E" w:rsidP="00DC457E">
      <w:pPr>
        <w:pStyle w:val="a7"/>
        <w:ind w:left="5103"/>
        <w:rPr>
          <w:rFonts w:ascii="Times New Roman" w:hAnsi="Times New Roman" w:cs="Times New Roman"/>
          <w:b/>
          <w:bCs/>
          <w:lang w:val="ru-RU"/>
        </w:rPr>
      </w:pPr>
      <w:r w:rsidRPr="007C00BE">
        <w:rPr>
          <w:rFonts w:ascii="Times New Roman" w:hAnsi="Times New Roman" w:cs="Times New Roman"/>
          <w:b/>
          <w:bCs/>
          <w:lang w:val="ru-RU"/>
        </w:rPr>
        <w:t xml:space="preserve">ТОВ «ПРДТ ФОНДОВИЙ ЦЕНТР»   </w:t>
      </w:r>
    </w:p>
    <w:p w14:paraId="4FB38C23" w14:textId="77777777" w:rsidR="00DC457E" w:rsidRPr="007C00BE" w:rsidRDefault="00DC457E" w:rsidP="00DC457E">
      <w:pPr>
        <w:pStyle w:val="a7"/>
        <w:ind w:left="5103"/>
        <w:rPr>
          <w:rFonts w:ascii="Times New Roman" w:hAnsi="Times New Roman" w:cs="Times New Roman"/>
          <w:b/>
          <w:bCs/>
          <w:lang w:val="ru-RU"/>
        </w:rPr>
      </w:pPr>
      <w:r w:rsidRPr="007C00BE">
        <w:rPr>
          <w:rFonts w:ascii="Times New Roman" w:hAnsi="Times New Roman" w:cs="Times New Roman"/>
          <w:b/>
          <w:bCs/>
          <w:lang w:val="ru-RU"/>
        </w:rPr>
        <w:t>Голопотелюк О. В.</w:t>
      </w:r>
    </w:p>
    <w:p w14:paraId="3613E8F1" w14:textId="77777777" w:rsidR="00DC457E" w:rsidRPr="007C00BE" w:rsidRDefault="00DC457E" w:rsidP="00DC457E">
      <w:pPr>
        <w:pStyle w:val="a7"/>
        <w:ind w:left="5103"/>
        <w:rPr>
          <w:rFonts w:ascii="Times New Roman" w:hAnsi="Times New Roman" w:cs="Times New Roman"/>
          <w:b/>
          <w:bCs/>
          <w:lang w:val="ru-RU"/>
        </w:rPr>
      </w:pPr>
    </w:p>
    <w:p w14:paraId="34DC314E" w14:textId="77777777" w:rsidR="00DC457E" w:rsidRPr="00CD29E3" w:rsidRDefault="00DC457E" w:rsidP="00DC457E">
      <w:pPr>
        <w:pStyle w:val="a7"/>
        <w:ind w:left="5103"/>
        <w:rPr>
          <w:rFonts w:ascii="Times New Roman" w:hAnsi="Times New Roman" w:cs="Times New Roman"/>
          <w:b/>
          <w:bCs/>
          <w:lang w:val="ru-RU"/>
        </w:rPr>
      </w:pPr>
      <w:r w:rsidRPr="00CD29E3">
        <w:rPr>
          <w:rFonts w:ascii="Times New Roman" w:hAnsi="Times New Roman" w:cs="Times New Roman"/>
          <w:b/>
          <w:bCs/>
          <w:lang w:val="ru-RU"/>
        </w:rPr>
        <w:t>_______________</w:t>
      </w:r>
    </w:p>
    <w:bookmarkEnd w:id="0"/>
    <w:p w14:paraId="3F89D4DF" w14:textId="77777777" w:rsidR="00AA618A" w:rsidRPr="00CD29E3" w:rsidRDefault="00AA618A" w:rsidP="00AA618A">
      <w:pPr>
        <w:pStyle w:val="a7"/>
        <w:ind w:left="5103"/>
        <w:rPr>
          <w:rFonts w:ascii="Times New Roman" w:hAnsi="Times New Roman" w:cs="Times New Roman"/>
          <w:b/>
          <w:bCs/>
          <w:lang w:val="ru-RU"/>
        </w:rPr>
      </w:pPr>
      <w:r w:rsidRPr="00CD29E3">
        <w:rPr>
          <w:rFonts w:ascii="Times New Roman" w:hAnsi="Times New Roman" w:cs="Times New Roman"/>
          <w:b/>
          <w:bCs/>
          <w:lang w:val="ru-RU"/>
        </w:rPr>
        <w:t xml:space="preserve">Наказ № </w:t>
      </w:r>
      <w:r>
        <w:rPr>
          <w:rFonts w:ascii="Times New Roman" w:hAnsi="Times New Roman" w:cs="Times New Roman"/>
          <w:b/>
          <w:bCs/>
          <w:lang w:val="ru-RU"/>
        </w:rPr>
        <w:t>2</w:t>
      </w:r>
      <w:r w:rsidRPr="00CD29E3">
        <w:rPr>
          <w:rFonts w:ascii="Times New Roman" w:hAnsi="Times New Roman" w:cs="Times New Roman"/>
          <w:b/>
          <w:bCs/>
          <w:lang w:val="ru-RU"/>
        </w:rPr>
        <w:t xml:space="preserve"> від « </w:t>
      </w:r>
      <w:r>
        <w:rPr>
          <w:rFonts w:ascii="Times New Roman" w:hAnsi="Times New Roman" w:cs="Times New Roman"/>
          <w:b/>
          <w:bCs/>
          <w:lang w:val="ru-RU"/>
        </w:rPr>
        <w:t>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                                                                                                 Вводиться в дію з </w:t>
      </w:r>
      <w:r>
        <w:rPr>
          <w:rFonts w:ascii="Times New Roman" w:hAnsi="Times New Roman" w:cs="Times New Roman"/>
          <w:b/>
          <w:bCs/>
          <w:lang w:val="ru-RU"/>
        </w:rPr>
        <w:t>« 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w:t>
      </w:r>
    </w:p>
    <w:p w14:paraId="4F3A03C8" w14:textId="77777777" w:rsidR="00C70AAA" w:rsidRPr="007C00BE" w:rsidRDefault="00C70AAA" w:rsidP="00C70AAA">
      <w:pPr>
        <w:pStyle w:val="a7"/>
        <w:ind w:left="5103"/>
        <w:rPr>
          <w:rFonts w:ascii="Times New Roman" w:eastAsia="Times New Roman" w:hAnsi="Times New Roman" w:cs="Times New Roman"/>
          <w:b/>
          <w:bCs/>
          <w:color w:val="000000"/>
          <w:lang w:val="ru-RU"/>
        </w:rPr>
      </w:pPr>
    </w:p>
    <w:p w14:paraId="6E6C10F1" w14:textId="77777777" w:rsidR="00D14B5C" w:rsidRPr="009C60CA" w:rsidRDefault="00D14B5C" w:rsidP="00C70AAA">
      <w:pPr>
        <w:spacing w:line="240" w:lineRule="auto"/>
        <w:jc w:val="center"/>
        <w:rPr>
          <w:rFonts w:ascii="Times New Roman" w:hAnsi="Times New Roman" w:cs="Times New Roman"/>
          <w:sz w:val="28"/>
          <w:szCs w:val="28"/>
          <w:lang w:val="ru-RU"/>
        </w:rPr>
      </w:pPr>
      <w:r w:rsidRPr="009C60CA">
        <w:rPr>
          <w:rFonts w:ascii="Times New Roman" w:hAnsi="Times New Roman" w:cs="Times New Roman"/>
          <w:b/>
          <w:bCs/>
          <w:sz w:val="28"/>
          <w:szCs w:val="28"/>
          <w:lang w:val="ru-RU"/>
        </w:rPr>
        <w:t>VIII. Порядок ведення обліку та подання звітності щодо операцій з фінансовими інструментами</w:t>
      </w:r>
    </w:p>
    <w:p w14:paraId="42D2D301" w14:textId="7A5CC39B" w:rsidR="00D14B5C" w:rsidRPr="00D14B5C" w:rsidRDefault="00D14B5C" w:rsidP="00C70AAA">
      <w:pPr>
        <w:spacing w:line="240" w:lineRule="auto"/>
        <w:ind w:firstLine="720"/>
        <w:rPr>
          <w:rFonts w:ascii="Times New Roman" w:hAnsi="Times New Roman" w:cs="Times New Roman"/>
          <w:lang w:val="ru-RU"/>
        </w:rPr>
      </w:pPr>
      <w:r w:rsidRPr="00D14B5C">
        <w:rPr>
          <w:rFonts w:ascii="Times New Roman" w:hAnsi="Times New Roman" w:cs="Times New Roman"/>
          <w:lang w:val="ru-RU"/>
        </w:rPr>
        <w:t xml:space="preserve">Цей документ є складовою Положення про провадження діяльності з торгівлі фінансовими інструментами в </w:t>
      </w:r>
      <w:r w:rsidR="00C70AAA">
        <w:rPr>
          <w:rFonts w:ascii="Times New Roman" w:hAnsi="Times New Roman" w:cs="Times New Roman"/>
          <w:lang w:val="ru-RU"/>
        </w:rPr>
        <w:t xml:space="preserve">ТОВ "ПРДТ ФОНДОВИЙ ЦЕНТР" </w:t>
      </w:r>
      <w:r w:rsidRPr="00D14B5C">
        <w:rPr>
          <w:rFonts w:ascii="Times New Roman" w:hAnsi="Times New Roman" w:cs="Times New Roman"/>
          <w:lang w:val="ru-RU"/>
        </w:rPr>
        <w:t>та визначає ведення обліку та подання звітності щодо операцій з фінансовими інструментами.</w:t>
      </w:r>
    </w:p>
    <w:p w14:paraId="2CF5A51B" w14:textId="77777777" w:rsidR="00D14B5C" w:rsidRPr="00D14B5C" w:rsidRDefault="00D14B5C" w:rsidP="00D14B5C">
      <w:pPr>
        <w:spacing w:line="240" w:lineRule="auto"/>
        <w:rPr>
          <w:rFonts w:ascii="Times New Roman" w:hAnsi="Times New Roman" w:cs="Times New Roman"/>
          <w:lang w:val="ru-RU"/>
        </w:rPr>
      </w:pPr>
    </w:p>
    <w:p w14:paraId="66CBCB2E" w14:textId="77777777" w:rsidR="00D14B5C" w:rsidRPr="00D14B5C" w:rsidRDefault="00D14B5C" w:rsidP="00C70AAA">
      <w:pPr>
        <w:spacing w:line="240" w:lineRule="auto"/>
        <w:jc w:val="center"/>
        <w:rPr>
          <w:rFonts w:ascii="Times New Roman" w:hAnsi="Times New Roman" w:cs="Times New Roman"/>
          <w:lang w:val="ru-RU"/>
        </w:rPr>
      </w:pPr>
      <w:r w:rsidRPr="00D14B5C">
        <w:rPr>
          <w:rFonts w:ascii="Times New Roman" w:hAnsi="Times New Roman" w:cs="Times New Roman"/>
          <w:b/>
          <w:bCs/>
          <w:lang w:val="ru-RU"/>
        </w:rPr>
        <w:t>Глава 1. Порядок ведення обліку щодо операцій з цінними паперами/іншими фінансовими інструментами</w:t>
      </w:r>
    </w:p>
    <w:p w14:paraId="333EA3C4" w14:textId="77777777" w:rsidR="00D14B5C" w:rsidRPr="00D14B5C" w:rsidRDefault="00D14B5C" w:rsidP="00D14B5C">
      <w:pPr>
        <w:numPr>
          <w:ilvl w:val="0"/>
          <w:numId w:val="9"/>
        </w:numPr>
        <w:spacing w:line="240" w:lineRule="auto"/>
        <w:rPr>
          <w:rFonts w:ascii="Times New Roman" w:hAnsi="Times New Roman" w:cs="Times New Roman"/>
          <w:lang w:val="ru-RU"/>
        </w:rPr>
      </w:pPr>
      <w:r w:rsidRPr="00D14B5C">
        <w:rPr>
          <w:rFonts w:ascii="Times New Roman" w:hAnsi="Times New Roman" w:cs="Times New Roman"/>
          <w:lang w:val="ru-RU"/>
        </w:rPr>
        <w:t>Внутрішній облік - це упорядкована система збору, узагальнення та відображення інформації в грошовому та кількісному вираженні про всі правочини, операції з цінними паперами та іншими фінансовими інструментами, грошовими коштами, які здійснює Інвестиційна фірма, у тому числі операції, не пов'язані з купівлею-продажем цінних паперів та інших фінансових інструментів, шляхом цілісного, неперервного і документального їх обліку, а також обліку пов'язаних з ними прав та зобов'язань.</w:t>
      </w:r>
    </w:p>
    <w:p w14:paraId="051D59F1" w14:textId="77777777" w:rsidR="00D14B5C" w:rsidRPr="00D14B5C" w:rsidRDefault="00D14B5C" w:rsidP="00D14B5C">
      <w:pPr>
        <w:numPr>
          <w:ilvl w:val="0"/>
          <w:numId w:val="9"/>
        </w:numPr>
        <w:spacing w:line="240" w:lineRule="auto"/>
        <w:rPr>
          <w:rFonts w:ascii="Times New Roman" w:hAnsi="Times New Roman" w:cs="Times New Roman"/>
          <w:lang w:val="ru-RU"/>
        </w:rPr>
      </w:pPr>
      <w:r w:rsidRPr="00D14B5C">
        <w:rPr>
          <w:rFonts w:ascii="Times New Roman" w:hAnsi="Times New Roman" w:cs="Times New Roman"/>
          <w:lang w:val="ru-RU"/>
        </w:rPr>
        <w:t>Об'єктами внутрішнього обліку Інвестиційної фірми є:</w:t>
      </w:r>
    </w:p>
    <w:p w14:paraId="52102DD1" w14:textId="77777777" w:rsidR="00D14B5C" w:rsidRPr="00D14B5C" w:rsidRDefault="00D14B5C" w:rsidP="00C70AAA">
      <w:pPr>
        <w:numPr>
          <w:ilvl w:val="1"/>
          <w:numId w:val="39"/>
        </w:numPr>
        <w:spacing w:line="240" w:lineRule="auto"/>
        <w:rPr>
          <w:rFonts w:ascii="Times New Roman" w:hAnsi="Times New Roman" w:cs="Times New Roman"/>
          <w:lang w:val="ru-RU"/>
        </w:rPr>
      </w:pPr>
      <w:r w:rsidRPr="00D14B5C">
        <w:rPr>
          <w:rFonts w:ascii="Times New Roman" w:hAnsi="Times New Roman" w:cs="Times New Roman"/>
          <w:lang w:val="ru-RU"/>
        </w:rPr>
        <w:t> договори, укладені Інвестиційною фірмою при здійсненні нею брокерської діяльності, субброкерської діяльності, дилерської діяльності,  замовлення до генеральних договорів, строкові операції, інші операції з цінними паперами, іншими фінансовими інструментами (ЦП/ІФІ) та грошовими коштами, а також пов'язані з ними права та зобов'язання;</w:t>
      </w:r>
    </w:p>
    <w:p w14:paraId="51BA9EC4" w14:textId="77777777" w:rsidR="00D14B5C" w:rsidRPr="00D14B5C" w:rsidRDefault="00D14B5C" w:rsidP="00C70AAA">
      <w:pPr>
        <w:numPr>
          <w:ilvl w:val="1"/>
          <w:numId w:val="39"/>
        </w:numPr>
        <w:spacing w:line="240" w:lineRule="auto"/>
        <w:rPr>
          <w:rFonts w:ascii="Times New Roman" w:hAnsi="Times New Roman" w:cs="Times New Roman"/>
          <w:lang w:val="ru-RU"/>
        </w:rPr>
      </w:pPr>
      <w:r w:rsidRPr="00D14B5C">
        <w:rPr>
          <w:rFonts w:ascii="Times New Roman" w:hAnsi="Times New Roman" w:cs="Times New Roman"/>
          <w:lang w:val="ru-RU"/>
        </w:rPr>
        <w:t>цінні папери та інші фінансові інструменти, які є об'єктами цивільних прав за правочинами, їх рух;</w:t>
      </w:r>
    </w:p>
    <w:p w14:paraId="7F6997FF" w14:textId="77777777" w:rsidR="00D14B5C" w:rsidRPr="00D14B5C" w:rsidRDefault="00D14B5C" w:rsidP="00C70AAA">
      <w:pPr>
        <w:numPr>
          <w:ilvl w:val="1"/>
          <w:numId w:val="39"/>
        </w:numPr>
        <w:spacing w:line="240" w:lineRule="auto"/>
        <w:rPr>
          <w:rFonts w:ascii="Times New Roman" w:hAnsi="Times New Roman" w:cs="Times New Roman"/>
          <w:lang w:val="ru-RU"/>
        </w:rPr>
      </w:pPr>
      <w:r w:rsidRPr="00D14B5C">
        <w:rPr>
          <w:rFonts w:ascii="Times New Roman" w:hAnsi="Times New Roman" w:cs="Times New Roman"/>
          <w:lang w:val="ru-RU"/>
        </w:rPr>
        <w:t>грошові кошти, призначені для здійснення правочинів з цінними паперами та іншими фінансовими інструментами, та грошові кошти, отримані внаслідок здійснення правочинів з цінними паперами та іншими фінансовими інструментами, їх рух.</w:t>
      </w:r>
    </w:p>
    <w:p w14:paraId="10F906D4" w14:textId="77777777" w:rsidR="00D14B5C" w:rsidRPr="00D14B5C" w:rsidRDefault="00D14B5C" w:rsidP="00D14B5C">
      <w:pPr>
        <w:numPr>
          <w:ilvl w:val="0"/>
          <w:numId w:val="9"/>
        </w:numPr>
        <w:spacing w:line="240" w:lineRule="auto"/>
        <w:rPr>
          <w:rFonts w:ascii="Times New Roman" w:hAnsi="Times New Roman" w:cs="Times New Roman"/>
          <w:lang w:val="ru-RU"/>
        </w:rPr>
      </w:pPr>
      <w:r w:rsidRPr="00D14B5C">
        <w:rPr>
          <w:rFonts w:ascii="Times New Roman" w:hAnsi="Times New Roman" w:cs="Times New Roman"/>
          <w:lang w:val="ru-RU"/>
        </w:rPr>
        <w:t>Внутрішній облік ведеться в грошовому вираженні з урахуванням вимог валютного законодавства та в кількісному вираженні в одиницях цінних паперів та інших фінансових інструментів певного виду.</w:t>
      </w:r>
    </w:p>
    <w:p w14:paraId="3C87A9CA" w14:textId="77777777" w:rsidR="00D14B5C" w:rsidRPr="00D14B5C" w:rsidRDefault="00D14B5C" w:rsidP="00D14B5C">
      <w:pPr>
        <w:numPr>
          <w:ilvl w:val="0"/>
          <w:numId w:val="9"/>
        </w:numPr>
        <w:spacing w:line="240" w:lineRule="auto"/>
        <w:rPr>
          <w:rFonts w:ascii="Times New Roman" w:hAnsi="Times New Roman" w:cs="Times New Roman"/>
          <w:lang w:val="ru-RU"/>
        </w:rPr>
      </w:pPr>
      <w:r w:rsidRPr="00D14B5C">
        <w:rPr>
          <w:rFonts w:ascii="Times New Roman" w:hAnsi="Times New Roman" w:cs="Times New Roman"/>
          <w:lang w:val="ru-RU"/>
        </w:rPr>
        <w:t>Інвестиційна фірма здійснює ведення внутрішнього обліку в паперовій та/або електронній формах.</w:t>
      </w:r>
    </w:p>
    <w:p w14:paraId="3B897BC1" w14:textId="77777777" w:rsidR="00D14B5C" w:rsidRPr="00D14B5C" w:rsidRDefault="00D14B5C" w:rsidP="00D14B5C">
      <w:pPr>
        <w:numPr>
          <w:ilvl w:val="0"/>
          <w:numId w:val="9"/>
        </w:numPr>
        <w:spacing w:line="240" w:lineRule="auto"/>
        <w:rPr>
          <w:rFonts w:ascii="Times New Roman" w:hAnsi="Times New Roman" w:cs="Times New Roman"/>
          <w:lang w:val="ru-RU"/>
        </w:rPr>
      </w:pPr>
      <w:r w:rsidRPr="00D14B5C">
        <w:rPr>
          <w:rFonts w:ascii="Times New Roman" w:hAnsi="Times New Roman" w:cs="Times New Roman"/>
          <w:lang w:val="ru-RU"/>
        </w:rPr>
        <w:t>При веденні внутрішнього обліку в електронній формі забезпечується можливість:</w:t>
      </w:r>
    </w:p>
    <w:p w14:paraId="245D7EFF" w14:textId="77777777" w:rsidR="00D14B5C" w:rsidRPr="00D14B5C" w:rsidRDefault="00D14B5C" w:rsidP="00C70AAA">
      <w:pPr>
        <w:numPr>
          <w:ilvl w:val="1"/>
          <w:numId w:val="40"/>
        </w:numPr>
        <w:spacing w:line="240" w:lineRule="auto"/>
        <w:rPr>
          <w:rFonts w:ascii="Times New Roman" w:hAnsi="Times New Roman" w:cs="Times New Roman"/>
          <w:lang w:val="ru-RU"/>
        </w:rPr>
      </w:pPr>
      <w:r w:rsidRPr="00D14B5C">
        <w:rPr>
          <w:rFonts w:ascii="Times New Roman" w:hAnsi="Times New Roman" w:cs="Times New Roman"/>
          <w:lang w:val="ru-RU"/>
        </w:rPr>
        <w:t> перегляду та переведення на паперовий або електронний носій будь-яких даних, які містяться у внутрішньому обліку;</w:t>
      </w:r>
    </w:p>
    <w:p w14:paraId="31DDB4FC" w14:textId="77777777" w:rsidR="00D14B5C" w:rsidRPr="00D14B5C" w:rsidRDefault="00D14B5C" w:rsidP="00C70AAA">
      <w:pPr>
        <w:numPr>
          <w:ilvl w:val="1"/>
          <w:numId w:val="40"/>
        </w:numPr>
        <w:spacing w:line="240" w:lineRule="auto"/>
        <w:rPr>
          <w:rFonts w:ascii="Times New Roman" w:hAnsi="Times New Roman" w:cs="Times New Roman"/>
          <w:lang w:val="ru-RU"/>
        </w:rPr>
      </w:pPr>
      <w:r w:rsidRPr="00D14B5C">
        <w:rPr>
          <w:rFonts w:ascii="Times New Roman" w:hAnsi="Times New Roman" w:cs="Times New Roman"/>
          <w:lang w:val="ru-RU"/>
        </w:rPr>
        <w:t>формування резервних копій даних внутрішнього обліку в електронній формі;</w:t>
      </w:r>
    </w:p>
    <w:p w14:paraId="2174F1CE" w14:textId="77777777" w:rsidR="00D14B5C" w:rsidRPr="00D14B5C" w:rsidRDefault="00D14B5C" w:rsidP="00C70AAA">
      <w:pPr>
        <w:numPr>
          <w:ilvl w:val="1"/>
          <w:numId w:val="40"/>
        </w:numPr>
        <w:spacing w:line="240" w:lineRule="auto"/>
        <w:rPr>
          <w:rFonts w:ascii="Times New Roman" w:hAnsi="Times New Roman" w:cs="Times New Roman"/>
          <w:lang w:val="ru-RU"/>
        </w:rPr>
      </w:pPr>
      <w:r w:rsidRPr="00D14B5C">
        <w:rPr>
          <w:rFonts w:ascii="Times New Roman" w:hAnsi="Times New Roman" w:cs="Times New Roman"/>
          <w:lang w:val="ru-RU"/>
        </w:rPr>
        <w:t>захисту даних внутрішнього обліку від несанкціонованого доступу сторонніх осіб, випадкового пошкодження чи внесення несанкціонованих змін;</w:t>
      </w:r>
    </w:p>
    <w:p w14:paraId="1E6D1F8A" w14:textId="77777777" w:rsidR="00D14B5C" w:rsidRPr="00D14B5C" w:rsidRDefault="00D14B5C" w:rsidP="00C70AAA">
      <w:pPr>
        <w:numPr>
          <w:ilvl w:val="1"/>
          <w:numId w:val="40"/>
        </w:numPr>
        <w:spacing w:line="240" w:lineRule="auto"/>
        <w:rPr>
          <w:rFonts w:ascii="Times New Roman" w:hAnsi="Times New Roman" w:cs="Times New Roman"/>
          <w:lang w:val="ru-RU"/>
        </w:rPr>
      </w:pPr>
      <w:r w:rsidRPr="00D14B5C">
        <w:rPr>
          <w:rFonts w:ascii="Times New Roman" w:hAnsi="Times New Roman" w:cs="Times New Roman"/>
          <w:lang w:val="ru-RU"/>
        </w:rPr>
        <w:t>здійснення твердої копії журналу обліку та реєстрів внутрішнього обліку в повному обсязі та/або витягів з них.                                                                     </w:t>
      </w:r>
    </w:p>
    <w:p w14:paraId="5B5FB158" w14:textId="77777777" w:rsidR="00D14B5C" w:rsidRPr="00D14B5C" w:rsidRDefault="00D14B5C" w:rsidP="00D14B5C">
      <w:pPr>
        <w:numPr>
          <w:ilvl w:val="0"/>
          <w:numId w:val="9"/>
        </w:numPr>
        <w:spacing w:line="240" w:lineRule="auto"/>
        <w:rPr>
          <w:rFonts w:ascii="Times New Roman" w:hAnsi="Times New Roman" w:cs="Times New Roman"/>
          <w:lang w:val="ru-RU"/>
        </w:rPr>
      </w:pPr>
      <w:r w:rsidRPr="00D14B5C">
        <w:rPr>
          <w:rFonts w:ascii="Times New Roman" w:hAnsi="Times New Roman" w:cs="Times New Roman"/>
          <w:lang w:val="ru-RU"/>
        </w:rPr>
        <w:lastRenderedPageBreak/>
        <w:t>Інвестиційна фірма самостійно визначає порядок ведення внутрішнього обліку згідно з цим Положенням та вимогами внутрішніх документів Інвестиційної фірми.</w:t>
      </w:r>
    </w:p>
    <w:p w14:paraId="0123705D" w14:textId="77777777" w:rsidR="00D14B5C" w:rsidRPr="00D14B5C" w:rsidRDefault="00D14B5C" w:rsidP="00D14B5C">
      <w:pPr>
        <w:numPr>
          <w:ilvl w:val="0"/>
          <w:numId w:val="9"/>
        </w:numPr>
        <w:spacing w:line="240" w:lineRule="auto"/>
        <w:rPr>
          <w:rFonts w:ascii="Times New Roman" w:hAnsi="Times New Roman" w:cs="Times New Roman"/>
          <w:lang w:val="ru-RU"/>
        </w:rPr>
      </w:pPr>
      <w:r w:rsidRPr="00D14B5C">
        <w:rPr>
          <w:rFonts w:ascii="Times New Roman" w:hAnsi="Times New Roman" w:cs="Times New Roman"/>
          <w:lang w:val="ru-RU"/>
        </w:rPr>
        <w:t>Внутрішній облік грошових коштів, ЦП/ІФІ, які знаходяться у власності Інвестиційної фірми, ЦП/ІФІ  власних випусків, а також договорів при здійсненні дилерської діяльності Інвестиційної фірми ведеться відокремлено від внутрішнього обліку грошових коштів, ЦП/ІФІ, а також договорів, укладених за дорученням чи в інтересах клієнтів Інвестиційної фірми.</w:t>
      </w:r>
    </w:p>
    <w:p w14:paraId="479A48C5" w14:textId="77777777" w:rsidR="00D14B5C" w:rsidRPr="00D14B5C" w:rsidRDefault="00D14B5C" w:rsidP="00D14B5C">
      <w:pPr>
        <w:numPr>
          <w:ilvl w:val="0"/>
          <w:numId w:val="9"/>
        </w:numPr>
        <w:spacing w:line="240" w:lineRule="auto"/>
        <w:rPr>
          <w:rFonts w:ascii="Times New Roman" w:hAnsi="Times New Roman" w:cs="Times New Roman"/>
          <w:lang w:val="ru-RU"/>
        </w:rPr>
      </w:pPr>
      <w:r w:rsidRPr="00D14B5C">
        <w:rPr>
          <w:rFonts w:ascii="Times New Roman" w:hAnsi="Times New Roman" w:cs="Times New Roman"/>
          <w:lang w:val="ru-RU"/>
        </w:rPr>
        <w:t>Внутрішній облік, що ведеться Інвестиційною фірмою забезпечує можливість відображення виконання договору частинами, якщо це передбачено умовами договору.</w:t>
      </w:r>
    </w:p>
    <w:p w14:paraId="04E6951F" w14:textId="77777777" w:rsidR="00D14B5C" w:rsidRPr="00D14B5C" w:rsidRDefault="00D14B5C" w:rsidP="00D14B5C">
      <w:pPr>
        <w:numPr>
          <w:ilvl w:val="0"/>
          <w:numId w:val="9"/>
        </w:numPr>
        <w:spacing w:line="240" w:lineRule="auto"/>
        <w:rPr>
          <w:rFonts w:ascii="Times New Roman" w:hAnsi="Times New Roman" w:cs="Times New Roman"/>
          <w:lang w:val="ru-RU"/>
        </w:rPr>
      </w:pPr>
      <w:r w:rsidRPr="00D14B5C">
        <w:rPr>
          <w:rFonts w:ascii="Times New Roman" w:hAnsi="Times New Roman" w:cs="Times New Roman"/>
          <w:lang w:val="ru-RU"/>
        </w:rPr>
        <w:t>Складовими внутрішнього обліку є:</w:t>
      </w:r>
    </w:p>
    <w:p w14:paraId="1CF38641" w14:textId="77777777" w:rsidR="00D14B5C" w:rsidRPr="00D14B5C" w:rsidRDefault="00D14B5C" w:rsidP="00C70AAA">
      <w:pPr>
        <w:numPr>
          <w:ilvl w:val="0"/>
          <w:numId w:val="10"/>
        </w:numPr>
        <w:spacing w:line="240" w:lineRule="auto"/>
        <w:rPr>
          <w:rFonts w:ascii="Times New Roman" w:hAnsi="Times New Roman" w:cs="Times New Roman"/>
          <w:lang w:val="ru-RU"/>
        </w:rPr>
      </w:pPr>
      <w:r w:rsidRPr="00D14B5C">
        <w:rPr>
          <w:rFonts w:ascii="Times New Roman" w:hAnsi="Times New Roman" w:cs="Times New Roman"/>
          <w:lang w:val="ru-RU"/>
        </w:rPr>
        <w:t>документи внутрішнього обліку;</w:t>
      </w:r>
    </w:p>
    <w:p w14:paraId="457223BC" w14:textId="77777777" w:rsidR="00D14B5C" w:rsidRPr="00D14B5C" w:rsidRDefault="00D14B5C" w:rsidP="00C70AAA">
      <w:pPr>
        <w:numPr>
          <w:ilvl w:val="0"/>
          <w:numId w:val="10"/>
        </w:numPr>
        <w:spacing w:line="240" w:lineRule="auto"/>
        <w:rPr>
          <w:rFonts w:ascii="Times New Roman" w:hAnsi="Times New Roman" w:cs="Times New Roman"/>
          <w:lang w:val="ru-RU"/>
        </w:rPr>
      </w:pPr>
      <w:r w:rsidRPr="00D14B5C">
        <w:rPr>
          <w:rFonts w:ascii="Times New Roman" w:hAnsi="Times New Roman" w:cs="Times New Roman"/>
          <w:lang w:val="ru-RU"/>
        </w:rPr>
        <w:t>журнал (журнали) обліку;</w:t>
      </w:r>
    </w:p>
    <w:p w14:paraId="46D1BF02" w14:textId="77777777" w:rsidR="00D14B5C" w:rsidRPr="00D14B5C" w:rsidRDefault="00D14B5C" w:rsidP="00C70AAA">
      <w:pPr>
        <w:numPr>
          <w:ilvl w:val="0"/>
          <w:numId w:val="10"/>
        </w:numPr>
        <w:spacing w:line="240" w:lineRule="auto"/>
        <w:rPr>
          <w:rFonts w:ascii="Times New Roman" w:hAnsi="Times New Roman" w:cs="Times New Roman"/>
          <w:lang w:val="ru-RU"/>
        </w:rPr>
      </w:pPr>
      <w:r w:rsidRPr="00D14B5C">
        <w:rPr>
          <w:rFonts w:ascii="Times New Roman" w:hAnsi="Times New Roman" w:cs="Times New Roman"/>
          <w:lang w:val="ru-RU"/>
        </w:rPr>
        <w:t>реєстри внутрішнього обліку;</w:t>
      </w:r>
    </w:p>
    <w:p w14:paraId="77999627" w14:textId="77777777" w:rsidR="00D14B5C" w:rsidRPr="00D14B5C" w:rsidRDefault="00D14B5C" w:rsidP="00C70AAA">
      <w:pPr>
        <w:numPr>
          <w:ilvl w:val="0"/>
          <w:numId w:val="10"/>
        </w:numPr>
        <w:spacing w:line="240" w:lineRule="auto"/>
        <w:rPr>
          <w:rFonts w:ascii="Times New Roman" w:hAnsi="Times New Roman" w:cs="Times New Roman"/>
          <w:lang w:val="ru-RU"/>
        </w:rPr>
      </w:pPr>
      <w:r w:rsidRPr="00D14B5C">
        <w:rPr>
          <w:rFonts w:ascii="Times New Roman" w:hAnsi="Times New Roman" w:cs="Times New Roman"/>
          <w:lang w:val="ru-RU"/>
        </w:rPr>
        <w:t>акти проведення звірки наявності грошових коштів та ЦП/ІФІ;</w:t>
      </w:r>
    </w:p>
    <w:p w14:paraId="5A223B9F" w14:textId="77777777" w:rsidR="00D14B5C" w:rsidRPr="00D14B5C" w:rsidRDefault="00D14B5C" w:rsidP="00C70AAA">
      <w:pPr>
        <w:numPr>
          <w:ilvl w:val="0"/>
          <w:numId w:val="10"/>
        </w:numPr>
        <w:spacing w:line="240" w:lineRule="auto"/>
        <w:rPr>
          <w:rFonts w:ascii="Times New Roman" w:hAnsi="Times New Roman" w:cs="Times New Roman"/>
          <w:lang w:val="ru-RU"/>
        </w:rPr>
      </w:pPr>
      <w:r w:rsidRPr="00D14B5C">
        <w:rPr>
          <w:rFonts w:ascii="Times New Roman" w:hAnsi="Times New Roman" w:cs="Times New Roman"/>
          <w:lang w:val="ru-RU"/>
        </w:rPr>
        <w:t>звіти Інвестиційної фірми клієнтам;</w:t>
      </w:r>
    </w:p>
    <w:p w14:paraId="6E561A80" w14:textId="77777777" w:rsidR="00D14B5C" w:rsidRPr="00D14B5C" w:rsidRDefault="00D14B5C" w:rsidP="00C70AAA">
      <w:pPr>
        <w:numPr>
          <w:ilvl w:val="0"/>
          <w:numId w:val="10"/>
        </w:numPr>
        <w:spacing w:line="240" w:lineRule="auto"/>
        <w:rPr>
          <w:rFonts w:ascii="Times New Roman" w:hAnsi="Times New Roman" w:cs="Times New Roman"/>
          <w:lang w:val="ru-RU"/>
        </w:rPr>
      </w:pPr>
      <w:r w:rsidRPr="00D14B5C">
        <w:rPr>
          <w:rFonts w:ascii="Times New Roman" w:hAnsi="Times New Roman" w:cs="Times New Roman"/>
          <w:lang w:val="ru-RU"/>
        </w:rPr>
        <w:t>інші журнали та реєстри внутрішнього обліку, визначені внутрішніми документами Інвестиційної фірми.</w:t>
      </w:r>
    </w:p>
    <w:p w14:paraId="7843953C" w14:textId="77777777" w:rsidR="00D14B5C" w:rsidRPr="00D14B5C" w:rsidRDefault="00D14B5C" w:rsidP="00D14B5C">
      <w:pPr>
        <w:numPr>
          <w:ilvl w:val="0"/>
          <w:numId w:val="12"/>
        </w:numPr>
        <w:spacing w:line="240" w:lineRule="auto"/>
        <w:rPr>
          <w:rFonts w:ascii="Times New Roman" w:hAnsi="Times New Roman" w:cs="Times New Roman"/>
          <w:lang w:val="ru-RU"/>
        </w:rPr>
      </w:pPr>
      <w:r w:rsidRPr="00D14B5C">
        <w:rPr>
          <w:rFonts w:ascii="Times New Roman" w:hAnsi="Times New Roman" w:cs="Times New Roman"/>
          <w:lang w:val="ru-RU"/>
        </w:rPr>
        <w:t>Записи у внутрішньому обліку вносяться Інвестиційною фірмою на підставі документів внутрішнього обліку, до яких належать:</w:t>
      </w:r>
    </w:p>
    <w:p w14:paraId="53C11F00" w14:textId="77777777" w:rsidR="00D14B5C" w:rsidRPr="00D14B5C" w:rsidRDefault="00D14B5C" w:rsidP="00C70AAA">
      <w:pPr>
        <w:numPr>
          <w:ilvl w:val="1"/>
          <w:numId w:val="41"/>
        </w:numPr>
        <w:spacing w:line="240" w:lineRule="auto"/>
        <w:rPr>
          <w:rFonts w:ascii="Times New Roman" w:hAnsi="Times New Roman" w:cs="Times New Roman"/>
          <w:lang w:val="ru-RU"/>
        </w:rPr>
      </w:pPr>
      <w:r w:rsidRPr="00D14B5C">
        <w:rPr>
          <w:rFonts w:ascii="Times New Roman" w:hAnsi="Times New Roman" w:cs="Times New Roman"/>
          <w:lang w:val="ru-RU"/>
        </w:rPr>
        <w:t>договори або інші документи, які підтверджують факти укладання, виконання, зміни умов та розірвання договорів;</w:t>
      </w:r>
    </w:p>
    <w:p w14:paraId="32CF14BF" w14:textId="77777777" w:rsidR="00D14B5C" w:rsidRPr="00D14B5C" w:rsidRDefault="00D14B5C" w:rsidP="00C70AAA">
      <w:pPr>
        <w:numPr>
          <w:ilvl w:val="1"/>
          <w:numId w:val="41"/>
        </w:numPr>
        <w:spacing w:line="240" w:lineRule="auto"/>
        <w:rPr>
          <w:rFonts w:ascii="Times New Roman" w:hAnsi="Times New Roman" w:cs="Times New Roman"/>
          <w:lang w:val="ru-RU"/>
        </w:rPr>
      </w:pPr>
      <w:r w:rsidRPr="00D14B5C">
        <w:rPr>
          <w:rFonts w:ascii="Times New Roman" w:hAnsi="Times New Roman" w:cs="Times New Roman"/>
          <w:lang w:val="ru-RU"/>
        </w:rPr>
        <w:t>замовлення, інші передбачені договором доручення клієнтів;</w:t>
      </w:r>
    </w:p>
    <w:p w14:paraId="4D5BC3BE" w14:textId="77777777" w:rsidR="00D14B5C" w:rsidRPr="00D14B5C" w:rsidRDefault="00D14B5C" w:rsidP="00C70AAA">
      <w:pPr>
        <w:numPr>
          <w:ilvl w:val="1"/>
          <w:numId w:val="41"/>
        </w:numPr>
        <w:spacing w:line="240" w:lineRule="auto"/>
        <w:rPr>
          <w:rFonts w:ascii="Times New Roman" w:hAnsi="Times New Roman" w:cs="Times New Roman"/>
          <w:lang w:val="ru-RU"/>
        </w:rPr>
      </w:pPr>
      <w:r w:rsidRPr="00D14B5C">
        <w:rPr>
          <w:rFonts w:ascii="Times New Roman" w:hAnsi="Times New Roman" w:cs="Times New Roman"/>
          <w:lang w:val="ru-RU"/>
        </w:rPr>
        <w:t>документи, якими підтверджуються факти проведення строкових операцій;</w:t>
      </w:r>
    </w:p>
    <w:p w14:paraId="5471407D" w14:textId="77777777" w:rsidR="00D14B5C" w:rsidRPr="00D14B5C" w:rsidRDefault="00D14B5C" w:rsidP="00C70AAA">
      <w:pPr>
        <w:numPr>
          <w:ilvl w:val="1"/>
          <w:numId w:val="41"/>
        </w:numPr>
        <w:spacing w:line="240" w:lineRule="auto"/>
        <w:rPr>
          <w:rFonts w:ascii="Times New Roman" w:hAnsi="Times New Roman" w:cs="Times New Roman"/>
          <w:lang w:val="ru-RU"/>
        </w:rPr>
      </w:pPr>
      <w:r w:rsidRPr="00D14B5C">
        <w:rPr>
          <w:rFonts w:ascii="Times New Roman" w:hAnsi="Times New Roman" w:cs="Times New Roman"/>
          <w:lang w:val="ru-RU"/>
        </w:rPr>
        <w:t>акти приймання-передавання ЦП/ІФІ паперової форми існування;</w:t>
      </w:r>
    </w:p>
    <w:p w14:paraId="17C3EDE7" w14:textId="77777777" w:rsidR="00D14B5C" w:rsidRPr="00D14B5C" w:rsidRDefault="00D14B5C" w:rsidP="00C70AAA">
      <w:pPr>
        <w:numPr>
          <w:ilvl w:val="1"/>
          <w:numId w:val="41"/>
        </w:numPr>
        <w:spacing w:line="240" w:lineRule="auto"/>
        <w:rPr>
          <w:rFonts w:ascii="Times New Roman" w:hAnsi="Times New Roman" w:cs="Times New Roman"/>
          <w:lang w:val="ru-RU"/>
        </w:rPr>
      </w:pPr>
      <w:r w:rsidRPr="00D14B5C">
        <w:rPr>
          <w:rFonts w:ascii="Times New Roman" w:hAnsi="Times New Roman" w:cs="Times New Roman"/>
          <w:lang w:val="ru-RU"/>
        </w:rPr>
        <w:t>банківські та/або інші документи, якими підтверджуються факти проведення грошових розрахунків за ЦП/ІФІ, операції з грошовими коштами;</w:t>
      </w:r>
    </w:p>
    <w:p w14:paraId="528A7F5F" w14:textId="77777777" w:rsidR="00D14B5C" w:rsidRPr="00D14B5C" w:rsidRDefault="00D14B5C" w:rsidP="00C70AAA">
      <w:pPr>
        <w:numPr>
          <w:ilvl w:val="1"/>
          <w:numId w:val="41"/>
        </w:numPr>
        <w:spacing w:line="240" w:lineRule="auto"/>
        <w:rPr>
          <w:rFonts w:ascii="Times New Roman" w:hAnsi="Times New Roman" w:cs="Times New Roman"/>
          <w:lang w:val="ru-RU"/>
        </w:rPr>
      </w:pPr>
      <w:r w:rsidRPr="00D14B5C">
        <w:rPr>
          <w:rFonts w:ascii="Times New Roman" w:hAnsi="Times New Roman" w:cs="Times New Roman"/>
          <w:lang w:val="ru-RU"/>
        </w:rPr>
        <w:t>документи, що підтверджують факти здійснення операцій з ЦП/ІФІ (виписки, довідки з рахунків у цінних паперах тощо);</w:t>
      </w:r>
    </w:p>
    <w:p w14:paraId="26455227" w14:textId="77777777" w:rsidR="00D14B5C" w:rsidRPr="00D14B5C" w:rsidRDefault="00D14B5C" w:rsidP="00C70AAA">
      <w:pPr>
        <w:numPr>
          <w:ilvl w:val="1"/>
          <w:numId w:val="41"/>
        </w:numPr>
        <w:spacing w:line="240" w:lineRule="auto"/>
        <w:rPr>
          <w:rFonts w:ascii="Times New Roman" w:hAnsi="Times New Roman" w:cs="Times New Roman"/>
          <w:lang w:val="ru-RU"/>
        </w:rPr>
      </w:pPr>
      <w:r w:rsidRPr="00D14B5C">
        <w:rPr>
          <w:rFonts w:ascii="Times New Roman" w:hAnsi="Times New Roman" w:cs="Times New Roman"/>
          <w:lang w:val="ru-RU"/>
        </w:rPr>
        <w:t>документи, повідомлення, які отримує Інвестиційна фірма від операторів організованих ринків та депозитарних установ, що є підставою для виникнення, зміни або припинення цивільних прав та обов'язків за договорами щодо ЦП/ІФІ;</w:t>
      </w:r>
    </w:p>
    <w:p w14:paraId="4C6D788F" w14:textId="77777777" w:rsidR="00D14B5C" w:rsidRPr="00D14B5C" w:rsidRDefault="00D14B5C" w:rsidP="00C70AAA">
      <w:pPr>
        <w:numPr>
          <w:ilvl w:val="1"/>
          <w:numId w:val="41"/>
        </w:numPr>
        <w:spacing w:line="240" w:lineRule="auto"/>
        <w:rPr>
          <w:rFonts w:ascii="Times New Roman" w:hAnsi="Times New Roman" w:cs="Times New Roman"/>
          <w:lang w:val="ru-RU"/>
        </w:rPr>
      </w:pPr>
      <w:r w:rsidRPr="00D14B5C">
        <w:rPr>
          <w:rFonts w:ascii="Times New Roman" w:hAnsi="Times New Roman" w:cs="Times New Roman"/>
          <w:lang w:val="ru-RU"/>
        </w:rPr>
        <w:t>рішення та інші документи органів державної влади, у тому числі судової, які є підставою для виникнення, зміни або припинення цивільних прав та обов'язків за договорами щодо ЦП/ІФІ;</w:t>
      </w:r>
    </w:p>
    <w:p w14:paraId="1EB6F05A" w14:textId="77777777" w:rsidR="00D14B5C" w:rsidRPr="00D14B5C" w:rsidRDefault="00D14B5C" w:rsidP="00C70AAA">
      <w:pPr>
        <w:numPr>
          <w:ilvl w:val="1"/>
          <w:numId w:val="41"/>
        </w:numPr>
        <w:spacing w:line="240" w:lineRule="auto"/>
        <w:rPr>
          <w:rFonts w:ascii="Times New Roman" w:hAnsi="Times New Roman" w:cs="Times New Roman"/>
          <w:lang w:val="ru-RU"/>
        </w:rPr>
      </w:pPr>
      <w:r w:rsidRPr="00D14B5C">
        <w:rPr>
          <w:rFonts w:ascii="Times New Roman" w:hAnsi="Times New Roman" w:cs="Times New Roman"/>
          <w:lang w:val="ru-RU"/>
        </w:rPr>
        <w:t>інші документи, які підтверджують факти, пов'язані з укладанням і виконанням договору, припиненням обов'язків з інших причин, зі зміною умов договору, з проведенням розрахунків за договором, з виконанням, зміною чи припиненням договору, який укладений між Інвестиційною фірмою і клієнтом, повністю або частково.</w:t>
      </w:r>
    </w:p>
    <w:p w14:paraId="6B2F5D79" w14:textId="77777777" w:rsidR="00D14B5C" w:rsidRPr="00D14B5C" w:rsidRDefault="00D14B5C" w:rsidP="00D14B5C">
      <w:pPr>
        <w:numPr>
          <w:ilvl w:val="0"/>
          <w:numId w:val="13"/>
        </w:numPr>
        <w:spacing w:line="240" w:lineRule="auto"/>
        <w:rPr>
          <w:rFonts w:ascii="Times New Roman" w:hAnsi="Times New Roman" w:cs="Times New Roman"/>
          <w:lang w:val="ru-RU"/>
        </w:rPr>
      </w:pPr>
      <w:r w:rsidRPr="00D14B5C">
        <w:rPr>
          <w:rFonts w:ascii="Times New Roman" w:hAnsi="Times New Roman" w:cs="Times New Roman"/>
          <w:lang w:val="ru-RU"/>
        </w:rPr>
        <w:t>Документи внутрішнього обліку складаються та засвідчуються Інвестиційною фірмою відповідно до вимог чинного законодавства, у тому числі цього Положення.</w:t>
      </w:r>
    </w:p>
    <w:p w14:paraId="1321CE51" w14:textId="77777777" w:rsidR="00D14B5C" w:rsidRPr="00D14B5C" w:rsidRDefault="00D14B5C" w:rsidP="00D14B5C">
      <w:pPr>
        <w:numPr>
          <w:ilvl w:val="0"/>
          <w:numId w:val="14"/>
        </w:numPr>
        <w:spacing w:line="240" w:lineRule="auto"/>
        <w:rPr>
          <w:rFonts w:ascii="Times New Roman" w:hAnsi="Times New Roman" w:cs="Times New Roman"/>
          <w:lang w:val="ru-RU"/>
        </w:rPr>
      </w:pPr>
      <w:r w:rsidRPr="00D14B5C">
        <w:rPr>
          <w:rFonts w:ascii="Times New Roman" w:hAnsi="Times New Roman" w:cs="Times New Roman"/>
          <w:lang w:val="ru-RU"/>
        </w:rPr>
        <w:t>Інвестиційна фірма забезпечує зберігання документів внутрішнього обліку відповідно до законодавства протягом п'яти років з моменту їх отримання або складання, якщо інше не встановлено законодавством.</w:t>
      </w:r>
    </w:p>
    <w:p w14:paraId="12F4A782" w14:textId="77777777" w:rsidR="00D14B5C" w:rsidRPr="00D14B5C" w:rsidRDefault="00D14B5C" w:rsidP="00D14B5C">
      <w:pPr>
        <w:numPr>
          <w:ilvl w:val="0"/>
          <w:numId w:val="15"/>
        </w:numPr>
        <w:spacing w:line="240" w:lineRule="auto"/>
        <w:rPr>
          <w:rFonts w:ascii="Times New Roman" w:hAnsi="Times New Roman" w:cs="Times New Roman"/>
          <w:lang w:val="ru-RU"/>
        </w:rPr>
      </w:pPr>
      <w:r w:rsidRPr="00D14B5C">
        <w:rPr>
          <w:rFonts w:ascii="Times New Roman" w:hAnsi="Times New Roman" w:cs="Times New Roman"/>
          <w:lang w:val="ru-RU"/>
        </w:rPr>
        <w:lastRenderedPageBreak/>
        <w:t>При здійсненні діяльності Інвестиційною фірмою із залученням філії (іншого відокремленого підрозділу) цієї Інвестиційної фірми ведення внутрішнього обліку може здійснюватися:</w:t>
      </w:r>
    </w:p>
    <w:p w14:paraId="4ECAF4E7" w14:textId="77777777" w:rsidR="00D14B5C" w:rsidRPr="00D14B5C" w:rsidRDefault="00D14B5C" w:rsidP="00C70AAA">
      <w:pPr>
        <w:numPr>
          <w:ilvl w:val="1"/>
          <w:numId w:val="42"/>
        </w:numPr>
        <w:spacing w:line="240" w:lineRule="auto"/>
        <w:rPr>
          <w:rFonts w:ascii="Times New Roman" w:hAnsi="Times New Roman" w:cs="Times New Roman"/>
          <w:lang w:val="ru-RU"/>
        </w:rPr>
      </w:pPr>
      <w:r w:rsidRPr="00D14B5C">
        <w:rPr>
          <w:rFonts w:ascii="Times New Roman" w:hAnsi="Times New Roman" w:cs="Times New Roman"/>
          <w:lang w:val="ru-RU"/>
        </w:rPr>
        <w:t>Інвестиційною фірмою централізовано з оперативним відображенням у журналі (журналах) обліку та реєстрах внутрішнього обліку результатів діяльності філії (іншого відокремленого підрозділу). При цьому відображення договорів, замовлень клієнтів, строкових операцій у журналі (журналах) обліку здійснюється не пізніше наступного робочого дня з дати укладання таких документів, здійснення операції;</w:t>
      </w:r>
    </w:p>
    <w:p w14:paraId="5B22111E" w14:textId="77777777" w:rsidR="00D14B5C" w:rsidRPr="00D14B5C" w:rsidRDefault="00D14B5C" w:rsidP="00C70AAA">
      <w:pPr>
        <w:numPr>
          <w:ilvl w:val="1"/>
          <w:numId w:val="42"/>
        </w:numPr>
        <w:spacing w:line="240" w:lineRule="auto"/>
        <w:rPr>
          <w:rFonts w:ascii="Times New Roman" w:hAnsi="Times New Roman" w:cs="Times New Roman"/>
          <w:lang w:val="ru-RU"/>
        </w:rPr>
      </w:pPr>
      <w:r w:rsidRPr="00D14B5C">
        <w:rPr>
          <w:rFonts w:ascii="Times New Roman" w:hAnsi="Times New Roman" w:cs="Times New Roman"/>
          <w:lang w:val="ru-RU"/>
        </w:rPr>
        <w:t>філією (іншим відокремленим підрозділом) відокремлено з оперативним відображенням у журналі (журналах) обліку та в реєстрах внутрішнього обліку філії (іншого відокремленого підрозділу) результатів її діяльності з обов'язковим відображенням у внутрішньому обліку Інвестиційної фірми даних внутрішнього обліку філії (іншого відокремленого підрозділу).</w:t>
      </w:r>
    </w:p>
    <w:p w14:paraId="44F78583" w14:textId="77777777" w:rsidR="00D14B5C" w:rsidRPr="00D14B5C" w:rsidRDefault="00D14B5C" w:rsidP="00D14B5C">
      <w:pPr>
        <w:numPr>
          <w:ilvl w:val="0"/>
          <w:numId w:val="16"/>
        </w:numPr>
        <w:spacing w:line="240" w:lineRule="auto"/>
        <w:rPr>
          <w:rFonts w:ascii="Times New Roman" w:hAnsi="Times New Roman" w:cs="Times New Roman"/>
          <w:lang w:val="ru-RU"/>
        </w:rPr>
      </w:pPr>
      <w:r w:rsidRPr="00D14B5C">
        <w:rPr>
          <w:rFonts w:ascii="Times New Roman" w:hAnsi="Times New Roman" w:cs="Times New Roman"/>
          <w:lang w:val="ru-RU"/>
        </w:rPr>
        <w:t>Відображення договорів, замовлень клієнтів, строкових операцій у журналі (журналах) обліку та в реєстрах внутрішнього обліку філії (іншого відокремленого підрозділу) здійснюється не пізніше наступного робочого дня з дати укладання документів, здійснення операції філією (іншим відокремленим підрозділом).</w:t>
      </w:r>
    </w:p>
    <w:p w14:paraId="66C9D5B8" w14:textId="77777777" w:rsidR="00D14B5C" w:rsidRPr="00D14B5C" w:rsidRDefault="00D14B5C" w:rsidP="00D14B5C">
      <w:pPr>
        <w:numPr>
          <w:ilvl w:val="0"/>
          <w:numId w:val="17"/>
        </w:numPr>
        <w:spacing w:line="240" w:lineRule="auto"/>
        <w:rPr>
          <w:rFonts w:ascii="Times New Roman" w:hAnsi="Times New Roman" w:cs="Times New Roman"/>
          <w:lang w:val="ru-RU"/>
        </w:rPr>
      </w:pPr>
      <w:r w:rsidRPr="00D14B5C">
        <w:rPr>
          <w:rFonts w:ascii="Times New Roman" w:hAnsi="Times New Roman" w:cs="Times New Roman"/>
          <w:lang w:val="ru-RU"/>
        </w:rPr>
        <w:t>Внесення відповідних даних за результатами діяльності філії (іншого відокремленого підрозділу) у внутрішній облік Інвестиційної фірми здійснюється не пізніше наступного робочого дня після вчинення таких правочинів.</w:t>
      </w:r>
    </w:p>
    <w:p w14:paraId="6818D998" w14:textId="77777777" w:rsidR="00D14B5C" w:rsidRPr="00D14B5C" w:rsidRDefault="00D14B5C" w:rsidP="00D14B5C">
      <w:pPr>
        <w:numPr>
          <w:ilvl w:val="0"/>
          <w:numId w:val="18"/>
        </w:numPr>
        <w:spacing w:line="240" w:lineRule="auto"/>
        <w:rPr>
          <w:rFonts w:ascii="Times New Roman" w:hAnsi="Times New Roman" w:cs="Times New Roman"/>
          <w:lang w:val="ru-RU"/>
        </w:rPr>
      </w:pPr>
      <w:r w:rsidRPr="00D14B5C">
        <w:rPr>
          <w:rFonts w:ascii="Times New Roman" w:hAnsi="Times New Roman" w:cs="Times New Roman"/>
          <w:lang w:val="ru-RU"/>
        </w:rPr>
        <w:t>Організація внутрішнього обліку Інвестиційної фірми забезпечує відокремлення інформації про результати діяльності Інвестиційної фірми від інформації про результати діяльності кожної з його філій (іншого відокремленого підрозділу).</w:t>
      </w:r>
    </w:p>
    <w:p w14:paraId="1C608FB0" w14:textId="77777777" w:rsidR="00D14B5C" w:rsidRPr="00D14B5C" w:rsidRDefault="00D14B5C" w:rsidP="00D14B5C">
      <w:pPr>
        <w:numPr>
          <w:ilvl w:val="0"/>
          <w:numId w:val="19"/>
        </w:numPr>
        <w:spacing w:line="240" w:lineRule="auto"/>
        <w:rPr>
          <w:rFonts w:ascii="Times New Roman" w:hAnsi="Times New Roman" w:cs="Times New Roman"/>
          <w:lang w:val="ru-RU"/>
        </w:rPr>
      </w:pPr>
      <w:r w:rsidRPr="00D14B5C">
        <w:rPr>
          <w:rFonts w:ascii="Times New Roman" w:hAnsi="Times New Roman" w:cs="Times New Roman"/>
          <w:lang w:val="ru-RU"/>
        </w:rPr>
        <w:t>Керівник Інвестиційної фірми забезпечує організацію внутрішнього обліку, у тому числі з урахуванням діяльності філій (інших відокремлених підрозділів), та дотримання Інвестиційною фірмою при здійсненні ним професійної діяльності вимог законодавства та внутрішніх документів Інвестиційної фірми, у тому числі цього Положення.</w:t>
      </w:r>
    </w:p>
    <w:p w14:paraId="3F7502E4" w14:textId="77777777" w:rsidR="00D14B5C" w:rsidRPr="00D14B5C" w:rsidRDefault="00D14B5C" w:rsidP="00D14B5C">
      <w:pPr>
        <w:numPr>
          <w:ilvl w:val="0"/>
          <w:numId w:val="20"/>
        </w:numPr>
        <w:spacing w:line="240" w:lineRule="auto"/>
        <w:rPr>
          <w:rFonts w:ascii="Times New Roman" w:hAnsi="Times New Roman" w:cs="Times New Roman"/>
          <w:lang w:val="ru-RU"/>
        </w:rPr>
      </w:pPr>
      <w:r w:rsidRPr="00D14B5C">
        <w:rPr>
          <w:rFonts w:ascii="Times New Roman" w:hAnsi="Times New Roman" w:cs="Times New Roman"/>
          <w:lang w:val="ru-RU"/>
        </w:rPr>
        <w:t>Інвестиційна фірма зобов'язаний надавати НКЦПФР, а також іншим органам державної влади відповідно до їх повноважень та у порядку, встановленому законодавством, інформацію та/або копії документів, що є складовими внутрішнього обліку.</w:t>
      </w:r>
    </w:p>
    <w:p w14:paraId="06FCC843" w14:textId="77777777" w:rsidR="00D14B5C" w:rsidRPr="00D14B5C" w:rsidRDefault="00D14B5C" w:rsidP="00D14B5C">
      <w:pPr>
        <w:numPr>
          <w:ilvl w:val="0"/>
          <w:numId w:val="21"/>
        </w:numPr>
        <w:spacing w:line="240" w:lineRule="auto"/>
        <w:rPr>
          <w:rFonts w:ascii="Times New Roman" w:hAnsi="Times New Roman" w:cs="Times New Roman"/>
          <w:lang w:val="ru-RU"/>
        </w:rPr>
      </w:pPr>
      <w:r w:rsidRPr="00D14B5C">
        <w:rPr>
          <w:rFonts w:ascii="Times New Roman" w:hAnsi="Times New Roman" w:cs="Times New Roman"/>
          <w:lang w:val="ru-RU"/>
        </w:rPr>
        <w:t>Журнал (журнали) обліку ведеться (ведуться) в хронологічному порядку у міру виникнення подій.</w:t>
      </w:r>
    </w:p>
    <w:p w14:paraId="2A9B673E" w14:textId="77777777" w:rsidR="00D14B5C" w:rsidRPr="00D14B5C" w:rsidRDefault="00D14B5C" w:rsidP="00D14B5C">
      <w:pPr>
        <w:numPr>
          <w:ilvl w:val="0"/>
          <w:numId w:val="22"/>
        </w:numPr>
        <w:spacing w:line="240" w:lineRule="auto"/>
        <w:rPr>
          <w:rFonts w:ascii="Times New Roman" w:hAnsi="Times New Roman" w:cs="Times New Roman"/>
          <w:lang w:val="ru-RU"/>
        </w:rPr>
      </w:pPr>
      <w:r w:rsidRPr="00D14B5C">
        <w:rPr>
          <w:rFonts w:ascii="Times New Roman" w:hAnsi="Times New Roman" w:cs="Times New Roman"/>
          <w:lang w:val="ru-RU"/>
        </w:rPr>
        <w:t>До журналу (журналів) обліку вноситься інформація про всі договори, разові замовлення, зміни до них, строкові операції, що стосуються здійснення Інвестиційною фірмою професійної діяльності на фондовому ринку.</w:t>
      </w:r>
    </w:p>
    <w:p w14:paraId="26D47224" w14:textId="77777777" w:rsidR="00D14B5C" w:rsidRPr="00D14B5C" w:rsidRDefault="00D14B5C" w:rsidP="00D14B5C">
      <w:pPr>
        <w:numPr>
          <w:ilvl w:val="0"/>
          <w:numId w:val="23"/>
        </w:numPr>
        <w:spacing w:line="240" w:lineRule="auto"/>
        <w:rPr>
          <w:rFonts w:ascii="Times New Roman" w:hAnsi="Times New Roman" w:cs="Times New Roman"/>
          <w:b/>
          <w:bCs/>
          <w:lang w:val="ru-RU"/>
        </w:rPr>
      </w:pPr>
      <w:r w:rsidRPr="00D14B5C">
        <w:rPr>
          <w:rFonts w:ascii="Times New Roman" w:hAnsi="Times New Roman" w:cs="Times New Roman"/>
          <w:b/>
          <w:bCs/>
          <w:lang w:val="ru-RU"/>
        </w:rPr>
        <w:t>Журнал обліку містить таку інформацію:</w:t>
      </w:r>
    </w:p>
    <w:p w14:paraId="3F2BA6E5" w14:textId="308B7BBB" w:rsidR="00D14B5C" w:rsidRPr="00C70AAA" w:rsidRDefault="00C70AAA" w:rsidP="00C70AAA">
      <w:pPr>
        <w:pStyle w:val="a7"/>
        <w:numPr>
          <w:ilvl w:val="1"/>
          <w:numId w:val="43"/>
        </w:numPr>
        <w:spacing w:line="240" w:lineRule="auto"/>
        <w:rPr>
          <w:rFonts w:ascii="Times New Roman" w:hAnsi="Times New Roman" w:cs="Times New Roman"/>
          <w:b/>
          <w:bCs/>
          <w:lang w:val="ru-RU"/>
        </w:rPr>
      </w:pPr>
      <w:r>
        <w:rPr>
          <w:rFonts w:ascii="Times New Roman" w:hAnsi="Times New Roman" w:cs="Times New Roman"/>
          <w:b/>
          <w:bCs/>
          <w:u w:val="single"/>
          <w:lang w:val="ru-RU"/>
        </w:rPr>
        <w:t xml:space="preserve">  </w:t>
      </w:r>
      <w:r w:rsidR="00D14B5C" w:rsidRPr="00C70AAA">
        <w:rPr>
          <w:rFonts w:ascii="Times New Roman" w:hAnsi="Times New Roman" w:cs="Times New Roman"/>
          <w:b/>
          <w:bCs/>
          <w:u w:val="single"/>
          <w:lang w:val="ru-RU"/>
        </w:rPr>
        <w:t>щодо договорів при здійсненні брокерської діяльності, субброкерської діяльності та дилерської діяльності</w:t>
      </w:r>
      <w:r w:rsidR="00D14B5C" w:rsidRPr="00C70AAA">
        <w:rPr>
          <w:rFonts w:ascii="Times New Roman" w:hAnsi="Times New Roman" w:cs="Times New Roman"/>
          <w:b/>
          <w:bCs/>
          <w:lang w:val="ru-RU"/>
        </w:rPr>
        <w:t>:</w:t>
      </w:r>
    </w:p>
    <w:p w14:paraId="08AE748A" w14:textId="77777777" w:rsidR="00D14B5C" w:rsidRPr="00D14B5C" w:rsidRDefault="00D14B5C" w:rsidP="00C70AAA">
      <w:pPr>
        <w:numPr>
          <w:ilvl w:val="2"/>
          <w:numId w:val="44"/>
        </w:numPr>
        <w:tabs>
          <w:tab w:val="clear" w:pos="2160"/>
          <w:tab w:val="num" w:pos="1134"/>
        </w:tabs>
        <w:spacing w:line="240" w:lineRule="auto"/>
        <w:ind w:left="709" w:hanging="425"/>
        <w:rPr>
          <w:rFonts w:ascii="Times New Roman" w:hAnsi="Times New Roman" w:cs="Times New Roman"/>
          <w:lang w:val="ru-RU"/>
        </w:rPr>
      </w:pPr>
      <w:r w:rsidRPr="00D14B5C">
        <w:rPr>
          <w:rFonts w:ascii="Times New Roman" w:hAnsi="Times New Roman" w:cs="Times New Roman"/>
          <w:lang w:val="ru-RU"/>
        </w:rPr>
        <w:t>реквізити ідентифікації договору;</w:t>
      </w:r>
    </w:p>
    <w:p w14:paraId="27B98157" w14:textId="77777777" w:rsidR="00D14B5C" w:rsidRPr="00D14B5C" w:rsidRDefault="00D14B5C" w:rsidP="00C70AAA">
      <w:pPr>
        <w:numPr>
          <w:ilvl w:val="2"/>
          <w:numId w:val="44"/>
        </w:numPr>
        <w:tabs>
          <w:tab w:val="clear" w:pos="2160"/>
          <w:tab w:val="num" w:pos="1134"/>
        </w:tabs>
        <w:spacing w:line="240" w:lineRule="auto"/>
        <w:ind w:left="709" w:hanging="425"/>
        <w:rPr>
          <w:rFonts w:ascii="Times New Roman" w:hAnsi="Times New Roman" w:cs="Times New Roman"/>
          <w:lang w:val="ru-RU"/>
        </w:rPr>
      </w:pPr>
      <w:r w:rsidRPr="00D14B5C">
        <w:rPr>
          <w:rFonts w:ascii="Times New Roman" w:hAnsi="Times New Roman" w:cs="Times New Roman"/>
          <w:lang w:val="ru-RU"/>
        </w:rPr>
        <w:t>реквізити сторін договору;</w:t>
      </w:r>
    </w:p>
    <w:p w14:paraId="12A3AAB8" w14:textId="77777777" w:rsidR="00D14B5C" w:rsidRPr="00D14B5C" w:rsidRDefault="00D14B5C" w:rsidP="00C70AAA">
      <w:pPr>
        <w:numPr>
          <w:ilvl w:val="2"/>
          <w:numId w:val="44"/>
        </w:numPr>
        <w:tabs>
          <w:tab w:val="clear" w:pos="2160"/>
          <w:tab w:val="num" w:pos="1134"/>
        </w:tabs>
        <w:spacing w:line="240" w:lineRule="auto"/>
        <w:ind w:left="709" w:hanging="425"/>
        <w:rPr>
          <w:rFonts w:ascii="Times New Roman" w:hAnsi="Times New Roman" w:cs="Times New Roman"/>
          <w:lang w:val="ru-RU"/>
        </w:rPr>
      </w:pPr>
      <w:r w:rsidRPr="00D14B5C">
        <w:rPr>
          <w:rFonts w:ascii="Times New Roman" w:hAnsi="Times New Roman" w:cs="Times New Roman"/>
          <w:lang w:val="ru-RU"/>
        </w:rPr>
        <w:t>предмет договору з визначенням виду послуги, яку надає Інвестиційна фірма за договором;</w:t>
      </w:r>
    </w:p>
    <w:p w14:paraId="2BD90C98" w14:textId="77777777" w:rsidR="00D14B5C" w:rsidRPr="00D14B5C" w:rsidRDefault="00D14B5C" w:rsidP="00C70AAA">
      <w:pPr>
        <w:numPr>
          <w:ilvl w:val="2"/>
          <w:numId w:val="44"/>
        </w:numPr>
        <w:tabs>
          <w:tab w:val="clear" w:pos="2160"/>
          <w:tab w:val="num" w:pos="1134"/>
        </w:tabs>
        <w:spacing w:line="240" w:lineRule="auto"/>
        <w:ind w:left="709" w:hanging="425"/>
        <w:rPr>
          <w:rFonts w:ascii="Times New Roman" w:hAnsi="Times New Roman" w:cs="Times New Roman"/>
          <w:lang w:val="ru-RU"/>
        </w:rPr>
      </w:pPr>
      <w:r w:rsidRPr="00D14B5C">
        <w:rPr>
          <w:rFonts w:ascii="Times New Roman" w:hAnsi="Times New Roman" w:cs="Times New Roman"/>
          <w:lang w:val="ru-RU"/>
        </w:rPr>
        <w:t xml:space="preserve">реквізити ідентифікації ЦП/ІФІ (за винятком генерального договору): вид/тип/різновид/найменування цінних паперів; серія цінних паперів - за наявності; вид опціонних сертифікатів - для випуску опціонних сертифікатів, вид іншого фінансового інструменту; найменування (позначення) деривативу, прийняте на організованому ринку; найменування емітента ЦП/ІФІ за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ЦП/ІФІ в разі наявності (сума векселя - для векселів, частка консолідованого іпотечного боргу, що припадає на один сертифікат участі, - для іпотечних сертифікатів участі, премія - для </w:t>
      </w:r>
      <w:r w:rsidRPr="00D14B5C">
        <w:rPr>
          <w:rFonts w:ascii="Times New Roman" w:hAnsi="Times New Roman" w:cs="Times New Roman"/>
          <w:lang w:val="ru-RU"/>
        </w:rPr>
        <w:lastRenderedPageBreak/>
        <w:t>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14:paraId="40C4DC17" w14:textId="77777777" w:rsidR="00D14B5C" w:rsidRPr="00D14B5C" w:rsidRDefault="00D14B5C" w:rsidP="00C70AAA">
      <w:pPr>
        <w:numPr>
          <w:ilvl w:val="2"/>
          <w:numId w:val="44"/>
        </w:numPr>
        <w:tabs>
          <w:tab w:val="clear" w:pos="2160"/>
          <w:tab w:val="num" w:pos="1134"/>
        </w:tabs>
        <w:spacing w:line="240" w:lineRule="auto"/>
        <w:ind w:left="709" w:hanging="425"/>
        <w:rPr>
          <w:rFonts w:ascii="Times New Roman" w:hAnsi="Times New Roman" w:cs="Times New Roman"/>
          <w:lang w:val="ru-RU"/>
        </w:rPr>
      </w:pPr>
      <w:r w:rsidRPr="00D14B5C">
        <w:rPr>
          <w:rFonts w:ascii="Times New Roman" w:hAnsi="Times New Roman" w:cs="Times New Roman"/>
          <w:lang w:val="ru-RU"/>
        </w:rPr>
        <w:t>кількість ЦП/ІФІ (крім генерального договору);</w:t>
      </w:r>
    </w:p>
    <w:p w14:paraId="5B3C3306" w14:textId="77777777" w:rsidR="00D14B5C" w:rsidRPr="00D14B5C" w:rsidRDefault="00D14B5C" w:rsidP="00C70AAA">
      <w:pPr>
        <w:numPr>
          <w:ilvl w:val="2"/>
          <w:numId w:val="44"/>
        </w:numPr>
        <w:tabs>
          <w:tab w:val="clear" w:pos="2160"/>
          <w:tab w:val="num" w:pos="1134"/>
        </w:tabs>
        <w:spacing w:line="240" w:lineRule="auto"/>
        <w:ind w:left="709" w:hanging="425"/>
        <w:rPr>
          <w:rFonts w:ascii="Times New Roman" w:hAnsi="Times New Roman" w:cs="Times New Roman"/>
          <w:lang w:val="ru-RU"/>
        </w:rPr>
      </w:pPr>
      <w:r w:rsidRPr="00D14B5C">
        <w:rPr>
          <w:rFonts w:ascii="Times New Roman" w:hAnsi="Times New Roman" w:cs="Times New Roman"/>
          <w:lang w:val="ru-RU"/>
        </w:rPr>
        <w:t>суму договору (крім генерального договору) або ціну цінних паперів за першою та другою частинами операції за договором РЕПО;</w:t>
      </w:r>
    </w:p>
    <w:p w14:paraId="2F7E50C3" w14:textId="77777777" w:rsidR="00D14B5C" w:rsidRPr="00D14B5C" w:rsidRDefault="00D14B5C" w:rsidP="00C70AAA">
      <w:pPr>
        <w:numPr>
          <w:ilvl w:val="2"/>
          <w:numId w:val="44"/>
        </w:numPr>
        <w:tabs>
          <w:tab w:val="clear" w:pos="2160"/>
          <w:tab w:val="num" w:pos="1134"/>
        </w:tabs>
        <w:spacing w:line="240" w:lineRule="auto"/>
        <w:ind w:left="709" w:hanging="425"/>
        <w:rPr>
          <w:rFonts w:ascii="Times New Roman" w:hAnsi="Times New Roman" w:cs="Times New Roman"/>
          <w:lang w:val="ru-RU"/>
        </w:rPr>
      </w:pPr>
      <w:r w:rsidRPr="00D14B5C">
        <w:rPr>
          <w:rFonts w:ascii="Times New Roman" w:hAnsi="Times New Roman" w:cs="Times New Roman"/>
          <w:lang w:val="ru-RU"/>
        </w:rPr>
        <w:t>термін дії договору;</w:t>
      </w:r>
    </w:p>
    <w:p w14:paraId="1BED0BAE" w14:textId="77777777" w:rsidR="00D14B5C" w:rsidRPr="00D14B5C" w:rsidRDefault="00D14B5C" w:rsidP="00C70AAA">
      <w:pPr>
        <w:numPr>
          <w:ilvl w:val="2"/>
          <w:numId w:val="44"/>
        </w:numPr>
        <w:tabs>
          <w:tab w:val="clear" w:pos="2160"/>
          <w:tab w:val="num" w:pos="1134"/>
        </w:tabs>
        <w:spacing w:line="240" w:lineRule="auto"/>
        <w:ind w:left="709" w:hanging="425"/>
        <w:rPr>
          <w:rFonts w:ascii="Times New Roman" w:hAnsi="Times New Roman" w:cs="Times New Roman"/>
          <w:lang w:val="ru-RU"/>
        </w:rPr>
      </w:pPr>
      <w:r w:rsidRPr="00D14B5C">
        <w:rPr>
          <w:rFonts w:ascii="Times New Roman" w:hAnsi="Times New Roman" w:cs="Times New Roman"/>
          <w:lang w:val="ru-RU"/>
        </w:rPr>
        <w:t>дату виконання (розірвання) договору;</w:t>
      </w:r>
    </w:p>
    <w:p w14:paraId="6FE5C695" w14:textId="77777777" w:rsidR="00D14B5C" w:rsidRPr="00D14B5C" w:rsidRDefault="00D14B5C" w:rsidP="00C70AAA">
      <w:pPr>
        <w:numPr>
          <w:ilvl w:val="2"/>
          <w:numId w:val="44"/>
        </w:numPr>
        <w:tabs>
          <w:tab w:val="clear" w:pos="2160"/>
          <w:tab w:val="num" w:pos="1134"/>
        </w:tabs>
        <w:spacing w:line="240" w:lineRule="auto"/>
        <w:ind w:left="709" w:hanging="425"/>
        <w:rPr>
          <w:rFonts w:ascii="Times New Roman" w:hAnsi="Times New Roman" w:cs="Times New Roman"/>
          <w:lang w:val="ru-RU"/>
        </w:rPr>
      </w:pPr>
      <w:r w:rsidRPr="00D14B5C">
        <w:rPr>
          <w:rFonts w:ascii="Times New Roman" w:hAnsi="Times New Roman" w:cs="Times New Roman"/>
          <w:lang w:val="ru-RU"/>
        </w:rPr>
        <w:t>реквізити ідентифікації договору, разового замовлення, на виконання якого укладений договір на виконання, договір на придбання (зазначається для договорів на виконання, на придбання);</w:t>
      </w:r>
    </w:p>
    <w:p w14:paraId="5D00410E" w14:textId="77777777" w:rsidR="00D14B5C" w:rsidRPr="00D14B5C" w:rsidRDefault="00D14B5C" w:rsidP="00C70AAA">
      <w:pPr>
        <w:numPr>
          <w:ilvl w:val="2"/>
          <w:numId w:val="44"/>
        </w:numPr>
        <w:tabs>
          <w:tab w:val="clear" w:pos="2160"/>
          <w:tab w:val="num" w:pos="1134"/>
        </w:tabs>
        <w:spacing w:line="240" w:lineRule="auto"/>
        <w:ind w:left="709" w:hanging="425"/>
        <w:rPr>
          <w:rFonts w:ascii="Times New Roman" w:hAnsi="Times New Roman" w:cs="Times New Roman"/>
          <w:lang w:val="ru-RU"/>
        </w:rPr>
      </w:pPr>
      <w:r w:rsidRPr="00D14B5C">
        <w:rPr>
          <w:rFonts w:ascii="Times New Roman" w:hAnsi="Times New Roman" w:cs="Times New Roman"/>
          <w:lang w:val="ru-RU"/>
        </w:rPr>
        <w:t>реквізити біржового контракту (зазначається для договорів на виконання, на придбання, укладених на організованому ринку);</w:t>
      </w:r>
    </w:p>
    <w:p w14:paraId="6DCCAAE6" w14:textId="77777777" w:rsidR="00D14B5C" w:rsidRPr="00D14B5C" w:rsidRDefault="00D14B5C" w:rsidP="00C70AAA">
      <w:pPr>
        <w:numPr>
          <w:ilvl w:val="2"/>
          <w:numId w:val="44"/>
        </w:numPr>
        <w:tabs>
          <w:tab w:val="clear" w:pos="2160"/>
          <w:tab w:val="num" w:pos="1134"/>
        </w:tabs>
        <w:spacing w:line="240" w:lineRule="auto"/>
        <w:ind w:left="709" w:hanging="425"/>
        <w:rPr>
          <w:rFonts w:ascii="Times New Roman" w:hAnsi="Times New Roman" w:cs="Times New Roman"/>
          <w:lang w:val="ru-RU"/>
        </w:rPr>
      </w:pPr>
      <w:r w:rsidRPr="00D14B5C">
        <w:rPr>
          <w:rFonts w:ascii="Times New Roman" w:hAnsi="Times New Roman" w:cs="Times New Roman"/>
          <w:lang w:val="ru-RU"/>
        </w:rPr>
        <w:t>вказівки щодо того, чи є Інвестиційна фірма керуючим рахунком у цінних паперах клієнта;</w:t>
      </w:r>
    </w:p>
    <w:p w14:paraId="5FC51A36" w14:textId="77777777" w:rsidR="00D14B5C" w:rsidRPr="00D14B5C" w:rsidRDefault="00D14B5C" w:rsidP="00C70AAA">
      <w:pPr>
        <w:numPr>
          <w:ilvl w:val="2"/>
          <w:numId w:val="44"/>
        </w:numPr>
        <w:tabs>
          <w:tab w:val="clear" w:pos="2160"/>
          <w:tab w:val="num" w:pos="1134"/>
        </w:tabs>
        <w:spacing w:line="240" w:lineRule="auto"/>
        <w:ind w:left="709" w:hanging="425"/>
        <w:rPr>
          <w:rFonts w:ascii="Times New Roman" w:hAnsi="Times New Roman" w:cs="Times New Roman"/>
          <w:lang w:val="ru-RU"/>
        </w:rPr>
      </w:pPr>
      <w:r w:rsidRPr="00D14B5C">
        <w:rPr>
          <w:rFonts w:ascii="Times New Roman" w:hAnsi="Times New Roman" w:cs="Times New Roman"/>
          <w:lang w:val="ru-RU"/>
        </w:rPr>
        <w:t>дату виконання першої частини операції за договором РЕПО;</w:t>
      </w:r>
    </w:p>
    <w:p w14:paraId="278B6FBF" w14:textId="193498F1" w:rsidR="00D14B5C" w:rsidRPr="00C70AAA" w:rsidRDefault="00C70AAA" w:rsidP="00C70AAA">
      <w:pPr>
        <w:pStyle w:val="a7"/>
        <w:numPr>
          <w:ilvl w:val="1"/>
          <w:numId w:val="43"/>
        </w:numPr>
        <w:spacing w:line="240" w:lineRule="auto"/>
        <w:rPr>
          <w:rFonts w:ascii="Times New Roman" w:hAnsi="Times New Roman" w:cs="Times New Roman"/>
          <w:b/>
          <w:bCs/>
          <w:u w:val="single"/>
          <w:lang w:val="ru-RU"/>
        </w:rPr>
      </w:pPr>
      <w:r>
        <w:rPr>
          <w:rFonts w:ascii="Times New Roman" w:hAnsi="Times New Roman" w:cs="Times New Roman"/>
          <w:b/>
          <w:bCs/>
          <w:u w:val="single"/>
          <w:lang w:val="ru-RU"/>
        </w:rPr>
        <w:t xml:space="preserve">  </w:t>
      </w:r>
      <w:r w:rsidR="00D14B5C" w:rsidRPr="00C70AAA">
        <w:rPr>
          <w:rFonts w:ascii="Times New Roman" w:hAnsi="Times New Roman" w:cs="Times New Roman"/>
          <w:b/>
          <w:bCs/>
          <w:u w:val="single"/>
          <w:lang w:val="ru-RU"/>
        </w:rPr>
        <w:t>щодо замовлень клієнта:</w:t>
      </w:r>
    </w:p>
    <w:p w14:paraId="2B4ABBF8" w14:textId="77777777" w:rsidR="00D14B5C" w:rsidRPr="00C70AAA" w:rsidRDefault="00D14B5C" w:rsidP="00C70AAA">
      <w:pPr>
        <w:numPr>
          <w:ilvl w:val="2"/>
          <w:numId w:val="45"/>
        </w:numPr>
        <w:spacing w:line="240" w:lineRule="auto"/>
        <w:ind w:left="284" w:hanging="284"/>
        <w:rPr>
          <w:rFonts w:ascii="Times New Roman" w:hAnsi="Times New Roman" w:cs="Times New Roman"/>
          <w:lang w:val="ru-RU"/>
        </w:rPr>
      </w:pPr>
      <w:r w:rsidRPr="00C70AAA">
        <w:rPr>
          <w:rFonts w:ascii="Times New Roman" w:hAnsi="Times New Roman" w:cs="Times New Roman"/>
          <w:lang w:val="ru-RU"/>
        </w:rPr>
        <w:t>реквізити ідентифікації замовлення клієнта (номер та дата надання замовлення, термін дії замовлення);</w:t>
      </w:r>
    </w:p>
    <w:p w14:paraId="6D19DACE" w14:textId="77777777" w:rsidR="00D14B5C" w:rsidRPr="00C70AAA" w:rsidRDefault="00D14B5C" w:rsidP="00C70AAA">
      <w:pPr>
        <w:numPr>
          <w:ilvl w:val="2"/>
          <w:numId w:val="45"/>
        </w:numPr>
        <w:spacing w:line="240" w:lineRule="auto"/>
        <w:ind w:left="284" w:hanging="284"/>
        <w:rPr>
          <w:rFonts w:ascii="Times New Roman" w:hAnsi="Times New Roman" w:cs="Times New Roman"/>
          <w:lang w:val="ru-RU"/>
        </w:rPr>
      </w:pPr>
      <w:r w:rsidRPr="00C70AAA">
        <w:rPr>
          <w:rFonts w:ascii="Times New Roman" w:hAnsi="Times New Roman" w:cs="Times New Roman"/>
          <w:lang w:val="ru-RU"/>
        </w:rPr>
        <w:t>реквізити ідентифікації генерального договору, до якого надано замовлення;</w:t>
      </w:r>
    </w:p>
    <w:p w14:paraId="13EBF624" w14:textId="77777777" w:rsidR="00D14B5C" w:rsidRPr="00C70AAA" w:rsidRDefault="00D14B5C" w:rsidP="00C70AAA">
      <w:pPr>
        <w:numPr>
          <w:ilvl w:val="2"/>
          <w:numId w:val="45"/>
        </w:numPr>
        <w:spacing w:line="240" w:lineRule="auto"/>
        <w:ind w:left="284" w:hanging="284"/>
        <w:rPr>
          <w:rFonts w:ascii="Times New Roman" w:hAnsi="Times New Roman" w:cs="Times New Roman"/>
          <w:lang w:val="ru-RU"/>
        </w:rPr>
      </w:pPr>
      <w:r w:rsidRPr="00C70AAA">
        <w:rPr>
          <w:rFonts w:ascii="Times New Roman" w:hAnsi="Times New Roman" w:cs="Times New Roman"/>
          <w:lang w:val="ru-RU"/>
        </w:rPr>
        <w:t>вид послуги (купівля, продаж, міна), яку надає Інвестиційна фірма;</w:t>
      </w:r>
    </w:p>
    <w:p w14:paraId="5E4E8CBB" w14:textId="77777777" w:rsidR="00D14B5C" w:rsidRPr="00C70AAA" w:rsidRDefault="00D14B5C" w:rsidP="00C70AAA">
      <w:pPr>
        <w:numPr>
          <w:ilvl w:val="2"/>
          <w:numId w:val="45"/>
        </w:numPr>
        <w:spacing w:line="240" w:lineRule="auto"/>
        <w:ind w:left="284" w:hanging="284"/>
        <w:rPr>
          <w:rFonts w:ascii="Times New Roman" w:hAnsi="Times New Roman" w:cs="Times New Roman"/>
          <w:lang w:val="ru-RU"/>
        </w:rPr>
      </w:pPr>
      <w:r w:rsidRPr="00C70AAA">
        <w:rPr>
          <w:rFonts w:ascii="Times New Roman" w:hAnsi="Times New Roman" w:cs="Times New Roman"/>
          <w:lang w:val="ru-RU"/>
        </w:rPr>
        <w:t>реквізити ідентифікації ЦП/ІФІ: вид/тип/різновид/найменування цінних паперів; серія цінних паперів - за наявності; вид опціонних сертифікатів - для випуску опціонних сертифікатів, вид іншого фінансового інструменту; найменування (код) деривативу, прийняте на фондовій біржі; найменування емітента ЦП/ІФІ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ЦП/ІФІ в разі наявності (сума векселя для векселів, частка консолідованого іпотечного боргу, що припадає на один сертифікат участі, - для іпотечних сертифікатів участі, премія - для опціонних сертифікатів) - у національній чи іноземній валюті; форма випуску та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14:paraId="0679D0FB" w14:textId="77777777" w:rsidR="00D14B5C" w:rsidRPr="00C70AAA" w:rsidRDefault="00D14B5C" w:rsidP="00C70AAA">
      <w:pPr>
        <w:numPr>
          <w:ilvl w:val="2"/>
          <w:numId w:val="45"/>
        </w:numPr>
        <w:spacing w:line="240" w:lineRule="auto"/>
        <w:ind w:left="284" w:hanging="284"/>
        <w:rPr>
          <w:rFonts w:ascii="Times New Roman" w:hAnsi="Times New Roman" w:cs="Times New Roman"/>
          <w:lang w:val="ru-RU"/>
        </w:rPr>
      </w:pPr>
      <w:r w:rsidRPr="00C70AAA">
        <w:rPr>
          <w:rFonts w:ascii="Times New Roman" w:hAnsi="Times New Roman" w:cs="Times New Roman"/>
          <w:lang w:val="ru-RU"/>
        </w:rPr>
        <w:t>кількість ЦП/ІФІ;</w:t>
      </w:r>
    </w:p>
    <w:p w14:paraId="0A52E802" w14:textId="77777777" w:rsidR="00D14B5C" w:rsidRPr="00C70AAA" w:rsidRDefault="00D14B5C" w:rsidP="00C70AAA">
      <w:pPr>
        <w:numPr>
          <w:ilvl w:val="2"/>
          <w:numId w:val="45"/>
        </w:numPr>
        <w:spacing w:line="240" w:lineRule="auto"/>
        <w:ind w:left="284" w:hanging="284"/>
        <w:rPr>
          <w:rFonts w:ascii="Times New Roman" w:hAnsi="Times New Roman" w:cs="Times New Roman"/>
          <w:lang w:val="ru-RU"/>
        </w:rPr>
      </w:pPr>
      <w:r w:rsidRPr="00C70AAA">
        <w:rPr>
          <w:rFonts w:ascii="Times New Roman" w:hAnsi="Times New Roman" w:cs="Times New Roman"/>
          <w:lang w:val="ru-RU"/>
        </w:rPr>
        <w:t>ціну одного ЦП/ІФІ або однозначні умови її визначення відповідно до виду замовлення клієнта до генерального договору;</w:t>
      </w:r>
    </w:p>
    <w:p w14:paraId="299B3865" w14:textId="77777777" w:rsidR="00D14B5C" w:rsidRPr="00C70AAA" w:rsidRDefault="00D14B5C" w:rsidP="00C70AAA">
      <w:pPr>
        <w:numPr>
          <w:ilvl w:val="2"/>
          <w:numId w:val="45"/>
        </w:numPr>
        <w:spacing w:line="240" w:lineRule="auto"/>
        <w:rPr>
          <w:rFonts w:ascii="Times New Roman" w:hAnsi="Times New Roman" w:cs="Times New Roman"/>
          <w:lang w:val="ru-RU"/>
        </w:rPr>
      </w:pPr>
      <w:r w:rsidRPr="00C70AAA">
        <w:rPr>
          <w:rFonts w:ascii="Times New Roman" w:hAnsi="Times New Roman" w:cs="Times New Roman"/>
          <w:lang w:val="ru-RU"/>
        </w:rPr>
        <w:t>дату виконання (анулювання) замовлення клієнта;</w:t>
      </w:r>
    </w:p>
    <w:p w14:paraId="42CF3FDA" w14:textId="77777777" w:rsidR="00D14B5C" w:rsidRPr="00D14B5C" w:rsidRDefault="00D14B5C" w:rsidP="00C70AAA">
      <w:pPr>
        <w:numPr>
          <w:ilvl w:val="1"/>
          <w:numId w:val="43"/>
        </w:numPr>
        <w:spacing w:line="240" w:lineRule="auto"/>
        <w:rPr>
          <w:rFonts w:ascii="Times New Roman" w:hAnsi="Times New Roman" w:cs="Times New Roman"/>
          <w:u w:val="single"/>
          <w:lang w:val="ru-RU"/>
        </w:rPr>
      </w:pPr>
      <w:r w:rsidRPr="00D14B5C">
        <w:rPr>
          <w:rFonts w:ascii="Times New Roman" w:hAnsi="Times New Roman" w:cs="Times New Roman"/>
          <w:u w:val="single"/>
          <w:lang w:val="ru-RU"/>
        </w:rPr>
        <w:t>щодо строкових операцій:</w:t>
      </w:r>
    </w:p>
    <w:p w14:paraId="23D15AC6" w14:textId="77777777" w:rsidR="00D14B5C" w:rsidRPr="00D14B5C" w:rsidRDefault="00D14B5C" w:rsidP="00C70AAA">
      <w:pPr>
        <w:numPr>
          <w:ilvl w:val="2"/>
          <w:numId w:val="43"/>
        </w:numPr>
        <w:spacing w:line="240" w:lineRule="auto"/>
        <w:ind w:left="284" w:hanging="284"/>
        <w:rPr>
          <w:rFonts w:ascii="Times New Roman" w:hAnsi="Times New Roman" w:cs="Times New Roman"/>
          <w:lang w:val="ru-RU"/>
        </w:rPr>
      </w:pPr>
      <w:r w:rsidRPr="00D14B5C">
        <w:rPr>
          <w:rFonts w:ascii="Times New Roman" w:hAnsi="Times New Roman" w:cs="Times New Roman"/>
          <w:lang w:val="ru-RU"/>
        </w:rPr>
        <w:t>ідентифікаційний номер за реєстром договорів, що формується оператором організованого ринку</w:t>
      </w:r>
    </w:p>
    <w:p w14:paraId="319429D5" w14:textId="77777777" w:rsidR="00D14B5C" w:rsidRPr="00D14B5C" w:rsidRDefault="00D14B5C" w:rsidP="00C70AAA">
      <w:pPr>
        <w:numPr>
          <w:ilvl w:val="2"/>
          <w:numId w:val="43"/>
        </w:numPr>
        <w:spacing w:line="240" w:lineRule="auto"/>
        <w:ind w:left="284" w:hanging="284"/>
        <w:rPr>
          <w:rFonts w:ascii="Times New Roman" w:hAnsi="Times New Roman" w:cs="Times New Roman"/>
          <w:lang w:val="ru-RU"/>
        </w:rPr>
      </w:pPr>
      <w:r w:rsidRPr="00D14B5C">
        <w:rPr>
          <w:rFonts w:ascii="Times New Roman" w:hAnsi="Times New Roman" w:cs="Times New Roman"/>
          <w:lang w:val="ru-RU"/>
        </w:rPr>
        <w:t>дату проведення строкової операції;</w:t>
      </w:r>
    </w:p>
    <w:p w14:paraId="1C15AA4C" w14:textId="77777777" w:rsidR="00D14B5C" w:rsidRPr="00D14B5C" w:rsidRDefault="00D14B5C" w:rsidP="00C70AAA">
      <w:pPr>
        <w:numPr>
          <w:ilvl w:val="2"/>
          <w:numId w:val="43"/>
        </w:numPr>
        <w:spacing w:line="240" w:lineRule="auto"/>
        <w:ind w:left="284" w:hanging="284"/>
        <w:rPr>
          <w:rFonts w:ascii="Times New Roman" w:hAnsi="Times New Roman" w:cs="Times New Roman"/>
          <w:lang w:val="ru-RU"/>
        </w:rPr>
      </w:pPr>
      <w:r w:rsidRPr="00D14B5C">
        <w:rPr>
          <w:rFonts w:ascii="Times New Roman" w:hAnsi="Times New Roman" w:cs="Times New Roman"/>
          <w:lang w:val="ru-RU"/>
        </w:rPr>
        <w:t>реквізити сторін укладених строкових контрактів;</w:t>
      </w:r>
    </w:p>
    <w:p w14:paraId="0632D7E4" w14:textId="77777777" w:rsidR="00D14B5C" w:rsidRPr="00D14B5C" w:rsidRDefault="00D14B5C" w:rsidP="00C70AAA">
      <w:pPr>
        <w:numPr>
          <w:ilvl w:val="2"/>
          <w:numId w:val="43"/>
        </w:numPr>
        <w:spacing w:line="240" w:lineRule="auto"/>
        <w:ind w:left="284" w:hanging="284"/>
        <w:rPr>
          <w:rFonts w:ascii="Times New Roman" w:hAnsi="Times New Roman" w:cs="Times New Roman"/>
          <w:lang w:val="ru-RU"/>
        </w:rPr>
      </w:pPr>
      <w:r w:rsidRPr="00D14B5C">
        <w:rPr>
          <w:rFonts w:ascii="Times New Roman" w:hAnsi="Times New Roman" w:cs="Times New Roman"/>
          <w:lang w:val="ru-RU"/>
        </w:rPr>
        <w:t xml:space="preserve">предмет строкової операції з визначенням: виду послуг, які надає Інвестиційна фірма (купівля або продаж); реквізити ідентифікації строкового контракту (код (позначення) строкового контракту); </w:t>
      </w:r>
      <w:r w:rsidRPr="00D14B5C">
        <w:rPr>
          <w:rFonts w:ascii="Times New Roman" w:hAnsi="Times New Roman" w:cs="Times New Roman"/>
          <w:lang w:val="ru-RU"/>
        </w:rPr>
        <w:lastRenderedPageBreak/>
        <w:t>найменування строкового контракту; ціна, за якою укладені строкові контракти за строковою операцією; кількості укладених строкових контрактів;</w:t>
      </w:r>
    </w:p>
    <w:p w14:paraId="6790F4BB" w14:textId="77777777" w:rsidR="00D14B5C" w:rsidRPr="00D14B5C" w:rsidRDefault="00D14B5C" w:rsidP="00C70AAA">
      <w:pPr>
        <w:numPr>
          <w:ilvl w:val="2"/>
          <w:numId w:val="43"/>
        </w:numPr>
        <w:spacing w:line="240" w:lineRule="auto"/>
        <w:ind w:left="284" w:hanging="284"/>
        <w:rPr>
          <w:rFonts w:ascii="Times New Roman" w:hAnsi="Times New Roman" w:cs="Times New Roman"/>
          <w:lang w:val="ru-RU"/>
        </w:rPr>
      </w:pPr>
      <w:r w:rsidRPr="00D14B5C">
        <w:rPr>
          <w:rFonts w:ascii="Times New Roman" w:hAnsi="Times New Roman" w:cs="Times New Roman"/>
          <w:lang w:val="ru-RU"/>
        </w:rPr>
        <w:t>реквізити ідентифікації договору комісії, договору доручення або замовлення клієнта до генерального договору, на виконання якого проведено строкову операцію;</w:t>
      </w:r>
    </w:p>
    <w:p w14:paraId="3F099EE6" w14:textId="77777777" w:rsidR="00D14B5C" w:rsidRPr="00D14B5C" w:rsidRDefault="00D14B5C" w:rsidP="00C70AAA">
      <w:pPr>
        <w:numPr>
          <w:ilvl w:val="2"/>
          <w:numId w:val="43"/>
        </w:numPr>
        <w:spacing w:line="240" w:lineRule="auto"/>
        <w:ind w:left="284" w:hanging="284"/>
        <w:rPr>
          <w:rFonts w:ascii="Times New Roman" w:hAnsi="Times New Roman" w:cs="Times New Roman"/>
          <w:lang w:val="ru-RU"/>
        </w:rPr>
      </w:pPr>
      <w:r w:rsidRPr="00D14B5C">
        <w:rPr>
          <w:rFonts w:ascii="Times New Roman" w:hAnsi="Times New Roman" w:cs="Times New Roman"/>
          <w:lang w:val="ru-RU"/>
        </w:rPr>
        <w:t>дату виконання строкових контрактів.</w:t>
      </w:r>
    </w:p>
    <w:p w14:paraId="6F21A5C8" w14:textId="77777777" w:rsidR="00D14B5C" w:rsidRPr="00D14B5C" w:rsidRDefault="00D14B5C" w:rsidP="00D14B5C">
      <w:pPr>
        <w:numPr>
          <w:ilvl w:val="0"/>
          <w:numId w:val="24"/>
        </w:numPr>
        <w:spacing w:line="240" w:lineRule="auto"/>
        <w:rPr>
          <w:rFonts w:ascii="Times New Roman" w:hAnsi="Times New Roman" w:cs="Times New Roman"/>
          <w:lang w:val="ru-RU"/>
        </w:rPr>
      </w:pPr>
      <w:r w:rsidRPr="00D14B5C">
        <w:rPr>
          <w:rFonts w:ascii="Times New Roman" w:hAnsi="Times New Roman" w:cs="Times New Roman"/>
          <w:lang w:val="ru-RU"/>
        </w:rPr>
        <w:t>Інвестиційна фірма може вносити до журналу обліку додаткову інформацію щодо доручень, звітів Інвестиційної фірми, які надаються клієнтам, звітів Інвестиційній фірмі від інших торговців цінними паперами (у разі якщо це передбачено відповідним договором), розпоряджень, операцій тощо.</w:t>
      </w:r>
    </w:p>
    <w:p w14:paraId="78E1EDC0" w14:textId="77777777" w:rsidR="00D14B5C" w:rsidRPr="00D14B5C" w:rsidRDefault="00D14B5C" w:rsidP="00D14B5C">
      <w:pPr>
        <w:numPr>
          <w:ilvl w:val="0"/>
          <w:numId w:val="25"/>
        </w:numPr>
        <w:spacing w:line="240" w:lineRule="auto"/>
        <w:rPr>
          <w:rFonts w:ascii="Times New Roman" w:hAnsi="Times New Roman" w:cs="Times New Roman"/>
          <w:lang w:val="ru-RU"/>
        </w:rPr>
      </w:pPr>
      <w:r w:rsidRPr="00D14B5C">
        <w:rPr>
          <w:rFonts w:ascii="Times New Roman" w:hAnsi="Times New Roman" w:cs="Times New Roman"/>
          <w:lang w:val="ru-RU"/>
        </w:rPr>
        <w:t>Відображення інформації в журналі обліку здійснюється не пізніше наступного робочого дня з дати виникнення такої інформації.</w:t>
      </w:r>
    </w:p>
    <w:p w14:paraId="0E6AE7F2" w14:textId="77777777" w:rsidR="00D14B5C" w:rsidRPr="00D14B5C" w:rsidRDefault="00D14B5C" w:rsidP="00D14B5C">
      <w:pPr>
        <w:numPr>
          <w:ilvl w:val="0"/>
          <w:numId w:val="26"/>
        </w:numPr>
        <w:spacing w:line="240" w:lineRule="auto"/>
        <w:rPr>
          <w:rFonts w:ascii="Times New Roman" w:hAnsi="Times New Roman" w:cs="Times New Roman"/>
          <w:lang w:val="ru-RU"/>
        </w:rPr>
      </w:pPr>
      <w:r w:rsidRPr="00D14B5C">
        <w:rPr>
          <w:rFonts w:ascii="Times New Roman" w:hAnsi="Times New Roman" w:cs="Times New Roman"/>
          <w:lang w:val="ru-RU"/>
        </w:rPr>
        <w:t>Реєстри внутрішнього обліку ведуться Інвестиційною фірмою для забезпечення внутрішнього обліку грошових коштів, цінних паперів та інших фінансових інструментів, що належать Інвестиційній фірмі та його клієнтам, а також зобов'язань щодо грошових коштів, цінних паперів та інших фінансових інструментів.</w:t>
      </w:r>
    </w:p>
    <w:p w14:paraId="3650F8DF" w14:textId="77777777" w:rsidR="00D14B5C" w:rsidRPr="00D14B5C" w:rsidRDefault="00D14B5C" w:rsidP="00D14B5C">
      <w:pPr>
        <w:numPr>
          <w:ilvl w:val="0"/>
          <w:numId w:val="27"/>
        </w:numPr>
        <w:spacing w:line="240" w:lineRule="auto"/>
        <w:rPr>
          <w:rFonts w:ascii="Times New Roman" w:hAnsi="Times New Roman" w:cs="Times New Roman"/>
          <w:lang w:val="ru-RU"/>
        </w:rPr>
      </w:pPr>
      <w:r w:rsidRPr="00D14B5C">
        <w:rPr>
          <w:rFonts w:ascii="Times New Roman" w:hAnsi="Times New Roman" w:cs="Times New Roman"/>
          <w:lang w:val="ru-RU"/>
        </w:rPr>
        <w:t>Інвестиційна фірма здійснює ведення таких реєстрів внутрішнього обліку:</w:t>
      </w:r>
    </w:p>
    <w:p w14:paraId="5B684133" w14:textId="77777777" w:rsidR="00D14B5C" w:rsidRPr="00D14B5C" w:rsidRDefault="00D14B5C" w:rsidP="00C70AAA">
      <w:pPr>
        <w:numPr>
          <w:ilvl w:val="1"/>
          <w:numId w:val="46"/>
        </w:numPr>
        <w:spacing w:line="240" w:lineRule="auto"/>
        <w:rPr>
          <w:rFonts w:ascii="Times New Roman" w:hAnsi="Times New Roman" w:cs="Times New Roman"/>
          <w:lang w:val="ru-RU"/>
        </w:rPr>
      </w:pPr>
      <w:r w:rsidRPr="00D14B5C">
        <w:rPr>
          <w:rFonts w:ascii="Times New Roman" w:hAnsi="Times New Roman" w:cs="Times New Roman"/>
          <w:lang w:val="ru-RU"/>
        </w:rPr>
        <w:t>реєстр внутрішнього обліку грошових коштів та розрахунків за договорами і операціями з ЦП/ІФІ;</w:t>
      </w:r>
    </w:p>
    <w:p w14:paraId="499A3897" w14:textId="4B30AF04" w:rsidR="00D14B5C" w:rsidRPr="00D14B5C" w:rsidRDefault="00C70AAA" w:rsidP="00C70AAA">
      <w:pPr>
        <w:spacing w:line="240" w:lineRule="auto"/>
        <w:rPr>
          <w:rFonts w:ascii="Times New Roman" w:hAnsi="Times New Roman" w:cs="Times New Roman"/>
          <w:lang w:val="ru-RU"/>
        </w:rPr>
      </w:pPr>
      <w:r>
        <w:rPr>
          <w:rFonts w:ascii="Times New Roman" w:hAnsi="Times New Roman" w:cs="Times New Roman"/>
          <w:lang w:val="ru-RU"/>
        </w:rPr>
        <w:t xml:space="preserve">25.2 </w:t>
      </w:r>
      <w:r w:rsidR="00D14B5C" w:rsidRPr="00D14B5C">
        <w:rPr>
          <w:rFonts w:ascii="Times New Roman" w:hAnsi="Times New Roman" w:cs="Times New Roman"/>
          <w:lang w:val="ru-RU"/>
        </w:rPr>
        <w:t>реєстр внутрішнього обліку цінних паперів та інших фінансових інструментів.</w:t>
      </w:r>
    </w:p>
    <w:p w14:paraId="3C79C462" w14:textId="77777777" w:rsidR="00D14B5C" w:rsidRPr="00D14B5C" w:rsidRDefault="00D14B5C" w:rsidP="00D14B5C">
      <w:pPr>
        <w:numPr>
          <w:ilvl w:val="0"/>
          <w:numId w:val="28"/>
        </w:numPr>
        <w:spacing w:line="240" w:lineRule="auto"/>
        <w:rPr>
          <w:rFonts w:ascii="Times New Roman" w:hAnsi="Times New Roman" w:cs="Times New Roman"/>
          <w:lang w:val="ru-RU"/>
        </w:rPr>
      </w:pPr>
      <w:r w:rsidRPr="00D14B5C">
        <w:rPr>
          <w:rFonts w:ascii="Times New Roman" w:hAnsi="Times New Roman" w:cs="Times New Roman"/>
          <w:lang w:val="ru-RU"/>
        </w:rPr>
        <w:t>Інвестиційна фірма здійснює окремо облік грошових коштів клієнтів, які передані йому для здійснення операцій з ЦП/ІФІ, окремо облік грошових коштів клієнтів відповідно до укладених договорів та окремо облік власних грошових коштів.</w:t>
      </w:r>
    </w:p>
    <w:p w14:paraId="266FC10A" w14:textId="77777777" w:rsidR="00D14B5C" w:rsidRPr="00D14B5C" w:rsidRDefault="00D14B5C" w:rsidP="00D14B5C">
      <w:pPr>
        <w:numPr>
          <w:ilvl w:val="0"/>
          <w:numId w:val="29"/>
        </w:numPr>
        <w:spacing w:line="240" w:lineRule="auto"/>
        <w:rPr>
          <w:rFonts w:ascii="Times New Roman" w:hAnsi="Times New Roman" w:cs="Times New Roman"/>
          <w:lang w:val="ru-RU"/>
        </w:rPr>
      </w:pPr>
      <w:r w:rsidRPr="00D14B5C">
        <w:rPr>
          <w:rFonts w:ascii="Times New Roman" w:hAnsi="Times New Roman" w:cs="Times New Roman"/>
          <w:lang w:val="ru-RU"/>
        </w:rPr>
        <w:t>Реєстр внутрішнього обліку цінних паперів та інших фінансових інструментів призначений для відображення всіх операцій, пов'язаних з рухом цінних паперів та інших фінансових інструментів Інвестиційної фірми та його клієнтів, і визначення залишків цінних паперів та інших фінансових інструментів за місцями їх обліку (зберігання). Облік цінних паперів та інших фінансових інструментів ведеться у кількісному вираженні (в одиницях).</w:t>
      </w:r>
    </w:p>
    <w:p w14:paraId="284D6384" w14:textId="77777777" w:rsidR="00D14B5C" w:rsidRPr="00D14B5C" w:rsidRDefault="00D14B5C" w:rsidP="00D14B5C">
      <w:pPr>
        <w:numPr>
          <w:ilvl w:val="0"/>
          <w:numId w:val="30"/>
        </w:numPr>
        <w:spacing w:line="240" w:lineRule="auto"/>
        <w:rPr>
          <w:rFonts w:ascii="Times New Roman" w:hAnsi="Times New Roman" w:cs="Times New Roman"/>
          <w:lang w:val="ru-RU"/>
        </w:rPr>
      </w:pPr>
      <w:r w:rsidRPr="00D14B5C">
        <w:rPr>
          <w:rFonts w:ascii="Times New Roman" w:hAnsi="Times New Roman" w:cs="Times New Roman"/>
          <w:lang w:val="ru-RU"/>
        </w:rPr>
        <w:t>Облік зобов'язань за цінними паперами, іншими фінансовими інструментами та грошовими коштами ведеться Інвестиційною фірмою відповідно до укладених договорів та інформації, що міститься у журналі (журналах) обліку та реєстрах внутрішнього обліку.</w:t>
      </w:r>
    </w:p>
    <w:p w14:paraId="3BEF9259" w14:textId="77777777" w:rsidR="00D14B5C" w:rsidRPr="00D14B5C" w:rsidRDefault="00D14B5C" w:rsidP="00D14B5C">
      <w:pPr>
        <w:numPr>
          <w:ilvl w:val="0"/>
          <w:numId w:val="31"/>
        </w:numPr>
        <w:spacing w:line="240" w:lineRule="auto"/>
        <w:rPr>
          <w:rFonts w:ascii="Times New Roman" w:hAnsi="Times New Roman" w:cs="Times New Roman"/>
          <w:lang w:val="ru-RU"/>
        </w:rPr>
      </w:pPr>
      <w:r w:rsidRPr="00D14B5C">
        <w:rPr>
          <w:rFonts w:ascii="Times New Roman" w:hAnsi="Times New Roman" w:cs="Times New Roman"/>
          <w:lang w:val="ru-RU"/>
        </w:rPr>
        <w:t>Цінні папери Інвестиційної фірми з метою їх оцінки та відображення в бухгалтерському обліку класифікуються у відповідності до міжнародних стандартів (МСФЗ 9) та визначаються внутрішньою обліковою політикою Інвестиційної фірми.</w:t>
      </w:r>
    </w:p>
    <w:p w14:paraId="70CE408A" w14:textId="77777777" w:rsidR="00D14B5C" w:rsidRPr="00D14B5C" w:rsidRDefault="00D14B5C" w:rsidP="00D14B5C">
      <w:pPr>
        <w:spacing w:line="240" w:lineRule="auto"/>
        <w:rPr>
          <w:rFonts w:ascii="Times New Roman" w:hAnsi="Times New Roman" w:cs="Times New Roman"/>
          <w:lang w:val="ru-RU"/>
        </w:rPr>
      </w:pPr>
    </w:p>
    <w:p w14:paraId="338ED0AA" w14:textId="77777777" w:rsidR="00D14B5C" w:rsidRPr="00D14B5C" w:rsidRDefault="00D14B5C" w:rsidP="00C70AAA">
      <w:pPr>
        <w:spacing w:line="240" w:lineRule="auto"/>
        <w:jc w:val="center"/>
        <w:rPr>
          <w:rFonts w:ascii="Times New Roman" w:hAnsi="Times New Roman" w:cs="Times New Roman"/>
          <w:lang w:val="ru-RU"/>
        </w:rPr>
      </w:pPr>
      <w:r w:rsidRPr="00D14B5C">
        <w:rPr>
          <w:rFonts w:ascii="Times New Roman" w:hAnsi="Times New Roman" w:cs="Times New Roman"/>
          <w:b/>
          <w:bCs/>
          <w:lang w:val="ru-RU"/>
        </w:rPr>
        <w:t>Глава 2. Порядок подання звітності щодо операцій з фінансовими інструментами</w:t>
      </w:r>
    </w:p>
    <w:p w14:paraId="08E7DE35" w14:textId="77777777" w:rsidR="00D14B5C" w:rsidRPr="00D14B5C" w:rsidRDefault="00D14B5C" w:rsidP="00C70AAA">
      <w:pPr>
        <w:numPr>
          <w:ilvl w:val="0"/>
          <w:numId w:val="32"/>
        </w:numPr>
        <w:tabs>
          <w:tab w:val="clear" w:pos="720"/>
          <w:tab w:val="num" w:pos="142"/>
        </w:tabs>
        <w:spacing w:line="240" w:lineRule="auto"/>
        <w:ind w:left="0" w:firstLine="0"/>
        <w:rPr>
          <w:rFonts w:ascii="Times New Roman" w:hAnsi="Times New Roman" w:cs="Times New Roman"/>
          <w:lang w:val="ru-RU"/>
        </w:rPr>
      </w:pPr>
      <w:r w:rsidRPr="00D14B5C">
        <w:rPr>
          <w:rFonts w:ascii="Times New Roman" w:hAnsi="Times New Roman" w:cs="Times New Roman"/>
          <w:lang w:val="ru-RU"/>
        </w:rPr>
        <w:t>Інвестиційна фірма складає та подає до НКЦПФР місячні, нерегулярні адміністративні дані у вигляді електронних документів відповідно до нормативно-правового акту НКЦПФР щодо подання адміністративних даних та інформації у вигляді електронних документів до НКЦПФР.</w:t>
      </w:r>
    </w:p>
    <w:p w14:paraId="42443F91" w14:textId="77777777" w:rsidR="00D14B5C" w:rsidRPr="00D14B5C" w:rsidRDefault="00D14B5C" w:rsidP="00C70AAA">
      <w:pPr>
        <w:numPr>
          <w:ilvl w:val="0"/>
          <w:numId w:val="32"/>
        </w:numPr>
        <w:tabs>
          <w:tab w:val="clear" w:pos="720"/>
          <w:tab w:val="num" w:pos="142"/>
        </w:tabs>
        <w:spacing w:line="240" w:lineRule="auto"/>
        <w:ind w:left="0" w:firstLine="0"/>
        <w:rPr>
          <w:rFonts w:ascii="Times New Roman" w:hAnsi="Times New Roman" w:cs="Times New Roman"/>
          <w:lang w:val="ru-RU"/>
        </w:rPr>
      </w:pPr>
      <w:r w:rsidRPr="00D14B5C">
        <w:rPr>
          <w:rFonts w:ascii="Times New Roman" w:hAnsi="Times New Roman" w:cs="Times New Roman"/>
          <w:lang w:val="ru-RU"/>
        </w:rPr>
        <w:t>Адміністративні дані складаються з довідок, склад та структура яких визначені нормативно-правовим актом НКЦПФР про порядок складання та подання адміністративних даних щодо діяльності з торгівлі фінансовими інструментами. Всі довідки мають бути заповнені, містити достовірну та повну інформацію.</w:t>
      </w:r>
    </w:p>
    <w:p w14:paraId="4F476CE0" w14:textId="77777777" w:rsidR="00D14B5C" w:rsidRPr="00D14B5C" w:rsidRDefault="00D14B5C" w:rsidP="00C70AAA">
      <w:pPr>
        <w:numPr>
          <w:ilvl w:val="0"/>
          <w:numId w:val="32"/>
        </w:numPr>
        <w:tabs>
          <w:tab w:val="clear" w:pos="720"/>
          <w:tab w:val="num" w:pos="142"/>
        </w:tabs>
        <w:spacing w:line="240" w:lineRule="auto"/>
        <w:ind w:left="0" w:firstLine="0"/>
        <w:rPr>
          <w:rFonts w:ascii="Times New Roman" w:hAnsi="Times New Roman" w:cs="Times New Roman"/>
          <w:lang w:val="ru-RU"/>
        </w:rPr>
      </w:pPr>
      <w:r w:rsidRPr="00D14B5C">
        <w:rPr>
          <w:rFonts w:ascii="Times New Roman" w:hAnsi="Times New Roman" w:cs="Times New Roman"/>
          <w:lang w:val="ru-RU"/>
        </w:rPr>
        <w:t>Інвестиційна фірма подає дані до центрального апарату НКЦПФР у такі строки:</w:t>
      </w:r>
    </w:p>
    <w:p w14:paraId="0228A6FE" w14:textId="77777777" w:rsidR="00D14B5C" w:rsidRPr="00C70AAA" w:rsidRDefault="00D14B5C" w:rsidP="00C70AAA">
      <w:pPr>
        <w:pStyle w:val="ac"/>
        <w:numPr>
          <w:ilvl w:val="0"/>
          <w:numId w:val="47"/>
        </w:numPr>
        <w:rPr>
          <w:rFonts w:ascii="Times New Roman" w:hAnsi="Times New Roman" w:cs="Times New Roman"/>
          <w:lang w:val="ru-RU"/>
        </w:rPr>
      </w:pPr>
      <w:r w:rsidRPr="00C70AAA">
        <w:rPr>
          <w:rFonts w:ascii="Times New Roman" w:hAnsi="Times New Roman" w:cs="Times New Roman"/>
          <w:lang w:val="ru-RU"/>
        </w:rPr>
        <w:t>місячні - не пізніше останнього числа місяця, наступного за звітним; місячні дані за останній місяць кварталу подаються у складі квартальних даних;</w:t>
      </w:r>
    </w:p>
    <w:p w14:paraId="6C9B1B0A" w14:textId="77777777" w:rsidR="00D14B5C" w:rsidRPr="00C70AAA" w:rsidRDefault="00D14B5C" w:rsidP="00C70AAA">
      <w:pPr>
        <w:pStyle w:val="ac"/>
        <w:numPr>
          <w:ilvl w:val="0"/>
          <w:numId w:val="47"/>
        </w:numPr>
        <w:rPr>
          <w:rFonts w:ascii="Times New Roman" w:hAnsi="Times New Roman" w:cs="Times New Roman"/>
          <w:lang w:val="ru-RU"/>
        </w:rPr>
      </w:pPr>
      <w:r w:rsidRPr="00C70AAA">
        <w:rPr>
          <w:rFonts w:ascii="Times New Roman" w:hAnsi="Times New Roman" w:cs="Times New Roman"/>
          <w:lang w:val="ru-RU"/>
        </w:rPr>
        <w:t>нерегулярні - не пізніше 24:00 наступного робочого дня після дати виникнення нерегулярних даних; </w:t>
      </w:r>
    </w:p>
    <w:p w14:paraId="15693464" w14:textId="77777777" w:rsidR="00D14B5C" w:rsidRPr="00C70AAA" w:rsidRDefault="00D14B5C" w:rsidP="00C70AAA">
      <w:pPr>
        <w:pStyle w:val="ac"/>
        <w:numPr>
          <w:ilvl w:val="0"/>
          <w:numId w:val="47"/>
        </w:numPr>
        <w:rPr>
          <w:rFonts w:ascii="Times New Roman" w:hAnsi="Times New Roman" w:cs="Times New Roman"/>
          <w:lang w:val="ru-RU"/>
        </w:rPr>
      </w:pPr>
      <w:r w:rsidRPr="00C70AAA">
        <w:rPr>
          <w:rFonts w:ascii="Times New Roman" w:hAnsi="Times New Roman" w:cs="Times New Roman"/>
          <w:lang w:val="ru-RU"/>
        </w:rPr>
        <w:t>квартальні - не пізніше останнього числа місяця, що настає за звітним кварталом.</w:t>
      </w:r>
    </w:p>
    <w:p w14:paraId="000B9E26" w14:textId="77777777" w:rsidR="00D14B5C" w:rsidRPr="00D14B5C" w:rsidRDefault="00D14B5C" w:rsidP="00D14B5C">
      <w:pPr>
        <w:numPr>
          <w:ilvl w:val="0"/>
          <w:numId w:val="34"/>
        </w:numPr>
        <w:spacing w:line="240" w:lineRule="auto"/>
        <w:rPr>
          <w:rFonts w:ascii="Times New Roman" w:hAnsi="Times New Roman" w:cs="Times New Roman"/>
          <w:lang w:val="ru-RU"/>
        </w:rPr>
      </w:pPr>
      <w:r w:rsidRPr="00D14B5C">
        <w:rPr>
          <w:rFonts w:ascii="Times New Roman" w:hAnsi="Times New Roman" w:cs="Times New Roman"/>
          <w:lang w:val="ru-RU"/>
        </w:rPr>
        <w:t xml:space="preserve">Інвестиційна фірма подає до загальнодоступної інформаційної бази даних НКЦПФР про ринок цінних паперів для подальшого розміщення інформацію про всі вчинені поза організованим ринком нею  або </w:t>
      </w:r>
      <w:r w:rsidRPr="00D14B5C">
        <w:rPr>
          <w:rFonts w:ascii="Times New Roman" w:hAnsi="Times New Roman" w:cs="Times New Roman"/>
          <w:lang w:val="ru-RU"/>
        </w:rPr>
        <w:lastRenderedPageBreak/>
        <w:t>за її  участю правочини щодо емісійних цінних паперів протягом трьох робочих днів після дати виникнення (виконання) правочину щодо емісійних цінних паперів за формою, визначеною нормативно-правовим актом НКЦПФР щодо подання та розміщення інформації в загальнодоступній інформаційній базі даних НКЦПФР про ринок цінних паперів. .</w:t>
      </w:r>
    </w:p>
    <w:p w14:paraId="58BEC5A9" w14:textId="77777777" w:rsidR="00D14B5C" w:rsidRPr="00D14B5C" w:rsidRDefault="00D14B5C" w:rsidP="00D14B5C">
      <w:pPr>
        <w:numPr>
          <w:ilvl w:val="0"/>
          <w:numId w:val="35"/>
        </w:numPr>
        <w:spacing w:line="240" w:lineRule="auto"/>
        <w:rPr>
          <w:rFonts w:ascii="Times New Roman" w:hAnsi="Times New Roman" w:cs="Times New Roman"/>
          <w:lang w:val="ru-RU"/>
        </w:rPr>
      </w:pPr>
      <w:r w:rsidRPr="00D14B5C">
        <w:rPr>
          <w:rFonts w:ascii="Times New Roman" w:hAnsi="Times New Roman" w:cs="Times New Roman"/>
          <w:lang w:val="ru-RU"/>
        </w:rPr>
        <w:t>Інвестиційна фірма у процесі провадження професійної діяльності з торгівлі фінансовими інструментами подає до НКЦПФР відомості та документи відповідно до вимог нормативно-правового акту НКЦПФР щодо ліцензійних умов провадження професійної діяльності на ринку капіталів (ринку цінних паперів) - діяльності з торгівлі цінними паперами.</w:t>
      </w:r>
    </w:p>
    <w:p w14:paraId="29B1C488" w14:textId="77777777" w:rsidR="00D14B5C" w:rsidRPr="00D14B5C" w:rsidRDefault="00D14B5C" w:rsidP="00D14B5C">
      <w:pPr>
        <w:numPr>
          <w:ilvl w:val="0"/>
          <w:numId w:val="36"/>
        </w:numPr>
        <w:spacing w:line="240" w:lineRule="auto"/>
        <w:rPr>
          <w:rFonts w:ascii="Times New Roman" w:hAnsi="Times New Roman" w:cs="Times New Roman"/>
          <w:lang w:val="ru-RU"/>
        </w:rPr>
      </w:pPr>
      <w:r w:rsidRPr="00D14B5C">
        <w:rPr>
          <w:rFonts w:ascii="Times New Roman" w:hAnsi="Times New Roman" w:cs="Times New Roman"/>
          <w:lang w:val="ru-RU"/>
        </w:rPr>
        <w:t>Інвестиційна фірма подає звітність до саморегулівної організації та/або об’єднання професійних учасників, членом якого вона  є. Склад, порядок та строки подання такої звітності встановлені внутрішніми документами об’єднання. </w:t>
      </w:r>
    </w:p>
    <w:p w14:paraId="23CD583F" w14:textId="77777777" w:rsidR="00D14B5C" w:rsidRPr="00D14B5C" w:rsidRDefault="00D14B5C" w:rsidP="00D14B5C">
      <w:pPr>
        <w:spacing w:line="240" w:lineRule="auto"/>
        <w:rPr>
          <w:rFonts w:ascii="Times New Roman" w:hAnsi="Times New Roman" w:cs="Times New Roman"/>
          <w:lang w:val="ru-RU"/>
        </w:rPr>
      </w:pPr>
    </w:p>
    <w:p w14:paraId="17BF1D44" w14:textId="77777777" w:rsidR="00D14B5C" w:rsidRPr="00D14B5C" w:rsidRDefault="00D14B5C" w:rsidP="00C70AAA">
      <w:pPr>
        <w:spacing w:line="240" w:lineRule="auto"/>
        <w:jc w:val="center"/>
        <w:rPr>
          <w:rFonts w:ascii="Times New Roman" w:hAnsi="Times New Roman" w:cs="Times New Roman"/>
          <w:lang w:val="ru-RU"/>
        </w:rPr>
      </w:pPr>
      <w:r w:rsidRPr="00D14B5C">
        <w:rPr>
          <w:rFonts w:ascii="Times New Roman" w:hAnsi="Times New Roman" w:cs="Times New Roman"/>
          <w:b/>
          <w:bCs/>
          <w:lang w:val="ru-RU"/>
        </w:rPr>
        <w:t>Глава 3. Порядок проведення звірки наявності коштів та фінансових інструментів</w:t>
      </w:r>
    </w:p>
    <w:p w14:paraId="19D26BE8" w14:textId="77777777" w:rsidR="00D14B5C" w:rsidRPr="00D14B5C" w:rsidRDefault="00D14B5C" w:rsidP="00C70AAA">
      <w:pPr>
        <w:numPr>
          <w:ilvl w:val="0"/>
          <w:numId w:val="37"/>
        </w:numPr>
        <w:tabs>
          <w:tab w:val="clear" w:pos="720"/>
          <w:tab w:val="num" w:pos="142"/>
        </w:tabs>
        <w:spacing w:line="240" w:lineRule="auto"/>
        <w:ind w:left="0" w:firstLine="0"/>
        <w:rPr>
          <w:rFonts w:ascii="Times New Roman" w:hAnsi="Times New Roman" w:cs="Times New Roman"/>
          <w:lang w:val="ru-RU"/>
        </w:rPr>
      </w:pPr>
      <w:r w:rsidRPr="00D14B5C">
        <w:rPr>
          <w:rFonts w:ascii="Times New Roman" w:hAnsi="Times New Roman" w:cs="Times New Roman"/>
          <w:lang w:val="ru-RU"/>
        </w:rPr>
        <w:t>Інвестиційна фірма проводить періодичну звірку фактичної наявності коштів та фінансових інструментів на власних рахунках та на рахунках клієнтів, управління якими здійснюється нею відповідно до договорів з цими клієнтами.</w:t>
      </w:r>
    </w:p>
    <w:p w14:paraId="38827195" w14:textId="77777777" w:rsidR="00D14B5C" w:rsidRPr="00D14B5C" w:rsidRDefault="00D14B5C" w:rsidP="00C70AAA">
      <w:pPr>
        <w:numPr>
          <w:ilvl w:val="0"/>
          <w:numId w:val="37"/>
        </w:numPr>
        <w:tabs>
          <w:tab w:val="clear" w:pos="720"/>
          <w:tab w:val="num" w:pos="142"/>
        </w:tabs>
        <w:spacing w:line="240" w:lineRule="auto"/>
        <w:ind w:left="0" w:firstLine="0"/>
        <w:rPr>
          <w:rFonts w:ascii="Times New Roman" w:hAnsi="Times New Roman" w:cs="Times New Roman"/>
          <w:lang w:val="ru-RU"/>
        </w:rPr>
      </w:pPr>
      <w:r w:rsidRPr="00D14B5C">
        <w:rPr>
          <w:rFonts w:ascii="Times New Roman" w:hAnsi="Times New Roman" w:cs="Times New Roman"/>
          <w:lang w:val="ru-RU"/>
        </w:rPr>
        <w:t>Дані стосовно залишків коштів у реєстрі внутрішнього обліку коштів та розрахунків за договорами та операціями з фінансовими інструментами звіряються з даними бухгалтерського обліку коштів, з виписками із рахунків на поточну дату.</w:t>
      </w:r>
    </w:p>
    <w:p w14:paraId="7F4C33D9" w14:textId="77777777" w:rsidR="00D14B5C" w:rsidRPr="00D14B5C" w:rsidRDefault="00D14B5C" w:rsidP="00C70AAA">
      <w:pPr>
        <w:numPr>
          <w:ilvl w:val="0"/>
          <w:numId w:val="37"/>
        </w:numPr>
        <w:tabs>
          <w:tab w:val="clear" w:pos="720"/>
          <w:tab w:val="num" w:pos="142"/>
        </w:tabs>
        <w:spacing w:line="240" w:lineRule="auto"/>
        <w:ind w:left="0" w:firstLine="0"/>
        <w:rPr>
          <w:rFonts w:ascii="Times New Roman" w:hAnsi="Times New Roman" w:cs="Times New Roman"/>
          <w:lang w:val="ru-RU"/>
        </w:rPr>
      </w:pPr>
      <w:r w:rsidRPr="00D14B5C">
        <w:rPr>
          <w:rFonts w:ascii="Times New Roman" w:hAnsi="Times New Roman" w:cs="Times New Roman"/>
          <w:lang w:val="ru-RU"/>
        </w:rPr>
        <w:t>Звірка наявності коштів проводиться не рідше одного разу на місяць.</w:t>
      </w:r>
    </w:p>
    <w:p w14:paraId="296DFA0E" w14:textId="77777777" w:rsidR="00D14B5C" w:rsidRPr="00D14B5C" w:rsidRDefault="00D14B5C" w:rsidP="00C70AAA">
      <w:pPr>
        <w:numPr>
          <w:ilvl w:val="0"/>
          <w:numId w:val="37"/>
        </w:numPr>
        <w:tabs>
          <w:tab w:val="clear" w:pos="720"/>
          <w:tab w:val="num" w:pos="142"/>
        </w:tabs>
        <w:spacing w:line="240" w:lineRule="auto"/>
        <w:ind w:left="0" w:firstLine="0"/>
        <w:rPr>
          <w:rFonts w:ascii="Times New Roman" w:hAnsi="Times New Roman" w:cs="Times New Roman"/>
          <w:lang w:val="ru-RU"/>
        </w:rPr>
      </w:pPr>
      <w:r w:rsidRPr="00D14B5C">
        <w:rPr>
          <w:rFonts w:ascii="Times New Roman" w:hAnsi="Times New Roman" w:cs="Times New Roman"/>
          <w:lang w:val="ru-RU"/>
        </w:rPr>
        <w:t>Звірка наявності фінансових інструментів проводиться у розрізі випусків фінансових інструментів, які знаходяться на балансі Інвестиційної фірми, а також за всіма фінансовими інструментами клієнтів, стосовно яких Інвестиційною фірмою клієнтом надані повноваження з розпорядження та реалізації прав за фінансовими інструментами, а також за всіма фінансовими інструментами клієнтів, переданих Інвестиційною фірмою в управління.</w:t>
      </w:r>
    </w:p>
    <w:p w14:paraId="7B1EA60D" w14:textId="77777777" w:rsidR="00D14B5C" w:rsidRPr="00D14B5C" w:rsidRDefault="00D14B5C" w:rsidP="00C70AAA">
      <w:pPr>
        <w:numPr>
          <w:ilvl w:val="0"/>
          <w:numId w:val="37"/>
        </w:numPr>
        <w:tabs>
          <w:tab w:val="clear" w:pos="720"/>
          <w:tab w:val="num" w:pos="142"/>
        </w:tabs>
        <w:spacing w:line="240" w:lineRule="auto"/>
        <w:ind w:left="0" w:firstLine="0"/>
        <w:rPr>
          <w:rFonts w:ascii="Times New Roman" w:hAnsi="Times New Roman" w:cs="Times New Roman"/>
          <w:lang w:val="ru-RU"/>
        </w:rPr>
      </w:pPr>
      <w:r w:rsidRPr="00D14B5C">
        <w:rPr>
          <w:rFonts w:ascii="Times New Roman" w:hAnsi="Times New Roman" w:cs="Times New Roman"/>
          <w:lang w:val="ru-RU"/>
        </w:rPr>
        <w:t>Дані стосовно залишків фінансових інструментів звіряються Інвестиційною фірмою з даними рахунків бухгалтерського обліку, з виписками з рахунків у цінних паперах на звітну дату та/або звітами про стан рахунків у третіх осіб (іноземних інвестиційних фірм).</w:t>
      </w:r>
    </w:p>
    <w:p w14:paraId="61D53F0D" w14:textId="77777777" w:rsidR="00D14B5C" w:rsidRPr="00D14B5C" w:rsidRDefault="00D14B5C" w:rsidP="00C70AAA">
      <w:pPr>
        <w:numPr>
          <w:ilvl w:val="0"/>
          <w:numId w:val="37"/>
        </w:numPr>
        <w:tabs>
          <w:tab w:val="clear" w:pos="720"/>
          <w:tab w:val="num" w:pos="142"/>
        </w:tabs>
        <w:spacing w:line="240" w:lineRule="auto"/>
        <w:ind w:left="0" w:firstLine="0"/>
        <w:rPr>
          <w:rFonts w:ascii="Times New Roman" w:hAnsi="Times New Roman" w:cs="Times New Roman"/>
          <w:lang w:val="ru-RU"/>
        </w:rPr>
      </w:pPr>
      <w:r w:rsidRPr="00D14B5C">
        <w:rPr>
          <w:rFonts w:ascii="Times New Roman" w:hAnsi="Times New Roman" w:cs="Times New Roman"/>
          <w:lang w:val="ru-RU"/>
        </w:rPr>
        <w:t>Звірка наявності фінансових інструментів проводиться Інвестиційною фірмою:</w:t>
      </w:r>
    </w:p>
    <w:p w14:paraId="4CE0B927" w14:textId="77777777" w:rsidR="00D14B5C" w:rsidRPr="00D14B5C" w:rsidRDefault="00D14B5C" w:rsidP="00D14B5C">
      <w:pPr>
        <w:spacing w:line="240" w:lineRule="auto"/>
        <w:rPr>
          <w:rFonts w:ascii="Times New Roman" w:hAnsi="Times New Roman" w:cs="Times New Roman"/>
          <w:lang w:val="ru-RU"/>
        </w:rPr>
      </w:pPr>
      <w:r w:rsidRPr="00D14B5C">
        <w:rPr>
          <w:rFonts w:ascii="Times New Roman" w:hAnsi="Times New Roman" w:cs="Times New Roman"/>
          <w:lang w:val="ru-RU"/>
        </w:rPr>
        <w:t>- протягом 10 робочих днів місяця, наступного за кварталом, протягом якого змінювався залишок фінансових інструментів;</w:t>
      </w:r>
    </w:p>
    <w:p w14:paraId="642BE86E" w14:textId="77777777" w:rsidR="00D14B5C" w:rsidRPr="00D14B5C" w:rsidRDefault="00D14B5C" w:rsidP="00D14B5C">
      <w:pPr>
        <w:spacing w:line="240" w:lineRule="auto"/>
        <w:rPr>
          <w:rFonts w:ascii="Times New Roman" w:hAnsi="Times New Roman" w:cs="Times New Roman"/>
          <w:lang w:val="ru-RU"/>
        </w:rPr>
      </w:pPr>
      <w:r w:rsidRPr="00D14B5C">
        <w:rPr>
          <w:rFonts w:ascii="Times New Roman" w:hAnsi="Times New Roman" w:cs="Times New Roman"/>
          <w:lang w:val="ru-RU"/>
        </w:rPr>
        <w:t>- щороку щодо всіх фінансових інструментів протягом місяця, наступного за роком, за який проводиться звірка.</w:t>
      </w:r>
    </w:p>
    <w:p w14:paraId="0380A6F2" w14:textId="77777777" w:rsidR="00D14B5C" w:rsidRPr="00D14B5C" w:rsidRDefault="00D14B5C" w:rsidP="00D14B5C">
      <w:pPr>
        <w:numPr>
          <w:ilvl w:val="0"/>
          <w:numId w:val="38"/>
        </w:numPr>
        <w:spacing w:line="240" w:lineRule="auto"/>
        <w:rPr>
          <w:rFonts w:ascii="Times New Roman" w:hAnsi="Times New Roman" w:cs="Times New Roman"/>
          <w:lang w:val="ru-RU"/>
        </w:rPr>
      </w:pPr>
      <w:r w:rsidRPr="00D14B5C">
        <w:rPr>
          <w:rFonts w:ascii="Times New Roman" w:hAnsi="Times New Roman" w:cs="Times New Roman"/>
          <w:lang w:val="ru-RU"/>
        </w:rPr>
        <w:t>За підсумками проведення звірки Інвестиційна фірма складає акт проведення звірки із зазначенням у разі наявності розбіжностей, виявлених під час проведення звірки.</w:t>
      </w:r>
    </w:p>
    <w:p w14:paraId="7991435D" w14:textId="77777777" w:rsidR="00D14B5C" w:rsidRPr="00D14B5C" w:rsidRDefault="00D14B5C" w:rsidP="00D14B5C">
      <w:pPr>
        <w:spacing w:line="240" w:lineRule="auto"/>
        <w:rPr>
          <w:rFonts w:ascii="Times New Roman" w:hAnsi="Times New Roman" w:cs="Times New Roman"/>
          <w:lang w:val="ru-RU"/>
        </w:rPr>
      </w:pPr>
      <w:r w:rsidRPr="00D14B5C">
        <w:rPr>
          <w:rFonts w:ascii="Times New Roman" w:hAnsi="Times New Roman" w:cs="Times New Roman"/>
          <w:lang w:val="ru-RU"/>
        </w:rPr>
        <w:t>Акт проведення звірки підписується фахівцем Інвестиційної фірми, який проводив звірку, фахівцем, відповідальним за ведення внутрішнього обліку відповідно до внутрішніх документів Інвестиційної фірми, та головним бухгалтером Інвестиційної фірми або іншою особою, яка веде бухгалтерський облік Інвестиційної фірми.</w:t>
      </w:r>
    </w:p>
    <w:p w14:paraId="3162BCBB" w14:textId="77777777" w:rsidR="000C07A8" w:rsidRPr="00D14B5C" w:rsidRDefault="000C07A8" w:rsidP="00D14B5C">
      <w:pPr>
        <w:spacing w:line="240" w:lineRule="auto"/>
        <w:rPr>
          <w:rFonts w:ascii="Times New Roman" w:hAnsi="Times New Roman" w:cs="Times New Roman"/>
          <w:lang w:val="ru-RU"/>
        </w:rPr>
      </w:pPr>
    </w:p>
    <w:sectPr w:rsidR="000C07A8" w:rsidRPr="00D14B5C" w:rsidSect="00DC457E">
      <w:footerReference w:type="default" r:id="rId7"/>
      <w:pgSz w:w="12240" w:h="15840"/>
      <w:pgMar w:top="709" w:right="758" w:bottom="56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E3D4F" w14:textId="77777777" w:rsidR="00105174" w:rsidRDefault="00105174" w:rsidP="00DC457E">
      <w:pPr>
        <w:spacing w:after="0" w:line="240" w:lineRule="auto"/>
      </w:pPr>
      <w:r>
        <w:separator/>
      </w:r>
    </w:p>
  </w:endnote>
  <w:endnote w:type="continuationSeparator" w:id="0">
    <w:p w14:paraId="48A117A6" w14:textId="77777777" w:rsidR="00105174" w:rsidRDefault="00105174" w:rsidP="00DC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634272"/>
      <w:docPartObj>
        <w:docPartGallery w:val="Page Numbers (Bottom of Page)"/>
        <w:docPartUnique/>
      </w:docPartObj>
    </w:sdtPr>
    <w:sdtContent>
      <w:p w14:paraId="06F2B087" w14:textId="49D626C4" w:rsidR="00DC457E" w:rsidRDefault="00DC457E">
        <w:pPr>
          <w:pStyle w:val="af"/>
          <w:jc w:val="right"/>
        </w:pPr>
        <w:r>
          <w:fldChar w:fldCharType="begin"/>
        </w:r>
        <w:r>
          <w:instrText>PAGE   \* MERGEFORMAT</w:instrText>
        </w:r>
        <w:r>
          <w:fldChar w:fldCharType="separate"/>
        </w:r>
        <w:r>
          <w:rPr>
            <w:lang w:val="ru-RU"/>
          </w:rPr>
          <w:t>2</w:t>
        </w:r>
        <w:r>
          <w:fldChar w:fldCharType="end"/>
        </w:r>
      </w:p>
    </w:sdtContent>
  </w:sdt>
  <w:p w14:paraId="4929E207" w14:textId="77777777" w:rsidR="00DC457E" w:rsidRDefault="00DC457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C9635" w14:textId="77777777" w:rsidR="00105174" w:rsidRDefault="00105174" w:rsidP="00DC457E">
      <w:pPr>
        <w:spacing w:after="0" w:line="240" w:lineRule="auto"/>
      </w:pPr>
      <w:r>
        <w:separator/>
      </w:r>
    </w:p>
  </w:footnote>
  <w:footnote w:type="continuationSeparator" w:id="0">
    <w:p w14:paraId="035936E5" w14:textId="77777777" w:rsidR="00105174" w:rsidRDefault="00105174" w:rsidP="00DC4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12D9"/>
    <w:multiLevelType w:val="hybridMultilevel"/>
    <w:tmpl w:val="8CB47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2734A8"/>
    <w:multiLevelType w:val="multilevel"/>
    <w:tmpl w:val="C10A56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66155"/>
    <w:multiLevelType w:val="multilevel"/>
    <w:tmpl w:val="8690E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C2C7C"/>
    <w:multiLevelType w:val="multilevel"/>
    <w:tmpl w:val="B95E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60726"/>
    <w:multiLevelType w:val="multilevel"/>
    <w:tmpl w:val="28800B90"/>
    <w:lvl w:ilvl="0">
      <w:start w:val="21"/>
      <w:numFmt w:val="decimal"/>
      <w:lvlText w:val="%1."/>
      <w:lvlJc w:val="left"/>
      <w:pPr>
        <w:ind w:left="444" w:hanging="444"/>
      </w:pPr>
      <w:rPr>
        <w:rFonts w:hint="default"/>
        <w:u w:val="single"/>
      </w:rPr>
    </w:lvl>
    <w:lvl w:ilvl="1">
      <w:start w:val="1"/>
      <w:numFmt w:val="decimal"/>
      <w:lvlText w:val="%1.%2."/>
      <w:lvlJc w:val="left"/>
      <w:pPr>
        <w:ind w:left="444" w:hanging="444"/>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26FD7769"/>
    <w:multiLevelType w:val="multilevel"/>
    <w:tmpl w:val="A1828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662114"/>
    <w:multiLevelType w:val="multilevel"/>
    <w:tmpl w:val="88D4B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F721A6"/>
    <w:multiLevelType w:val="multilevel"/>
    <w:tmpl w:val="14404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873590"/>
    <w:multiLevelType w:val="multilevel"/>
    <w:tmpl w:val="0E0C4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F438F"/>
    <w:multiLevelType w:val="multilevel"/>
    <w:tmpl w:val="EC5AFF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1D4249"/>
    <w:multiLevelType w:val="multilevel"/>
    <w:tmpl w:val="798C8B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3808D8"/>
    <w:multiLevelType w:val="multilevel"/>
    <w:tmpl w:val="1188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72526"/>
    <w:multiLevelType w:val="multilevel"/>
    <w:tmpl w:val="A5820C1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CF18A1"/>
    <w:multiLevelType w:val="multilevel"/>
    <w:tmpl w:val="DC18205E"/>
    <w:lvl w:ilvl="0">
      <w:start w:val="1"/>
      <w:numFmt w:val="decimal"/>
      <w:lvlText w:val="9.%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73B64B4A"/>
    <w:multiLevelType w:val="multilevel"/>
    <w:tmpl w:val="2D6E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3E179A"/>
    <w:multiLevelType w:val="multilevel"/>
    <w:tmpl w:val="5A32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836877">
    <w:abstractNumId w:val="8"/>
  </w:num>
  <w:num w:numId="2" w16cid:durableId="128522971">
    <w:abstractNumId w:val="14"/>
  </w:num>
  <w:num w:numId="3" w16cid:durableId="1296763681">
    <w:abstractNumId w:val="5"/>
    <w:lvlOverride w:ilvl="0">
      <w:lvl w:ilvl="0">
        <w:numFmt w:val="decimal"/>
        <w:lvlText w:val="%1."/>
        <w:lvlJc w:val="left"/>
      </w:lvl>
    </w:lvlOverride>
  </w:num>
  <w:num w:numId="4" w16cid:durableId="1380547832">
    <w:abstractNumId w:val="11"/>
  </w:num>
  <w:num w:numId="5" w16cid:durableId="745225909">
    <w:abstractNumId w:val="9"/>
    <w:lvlOverride w:ilvl="0">
      <w:lvl w:ilvl="0">
        <w:numFmt w:val="decimal"/>
        <w:lvlText w:val="%1."/>
        <w:lvlJc w:val="left"/>
      </w:lvl>
    </w:lvlOverride>
  </w:num>
  <w:num w:numId="6" w16cid:durableId="1473790370">
    <w:abstractNumId w:val="9"/>
    <w:lvlOverride w:ilvl="0">
      <w:lvl w:ilvl="0">
        <w:numFmt w:val="decimal"/>
        <w:lvlText w:val="%1."/>
        <w:lvlJc w:val="left"/>
      </w:lvl>
    </w:lvlOverride>
  </w:num>
  <w:num w:numId="7" w16cid:durableId="1200970402">
    <w:abstractNumId w:val="9"/>
    <w:lvlOverride w:ilvl="0">
      <w:lvl w:ilvl="0">
        <w:numFmt w:val="decimal"/>
        <w:lvlText w:val="%1."/>
        <w:lvlJc w:val="left"/>
      </w:lvl>
    </w:lvlOverride>
  </w:num>
  <w:num w:numId="8" w16cid:durableId="518736960">
    <w:abstractNumId w:val="15"/>
  </w:num>
  <w:num w:numId="9" w16cid:durableId="846017998">
    <w:abstractNumId w:val="2"/>
  </w:num>
  <w:num w:numId="10" w16cid:durableId="1004285142">
    <w:abstractNumId w:val="13"/>
  </w:num>
  <w:num w:numId="11" w16cid:durableId="1330715473">
    <w:abstractNumId w:val="12"/>
  </w:num>
  <w:num w:numId="12" w16cid:durableId="136265287">
    <w:abstractNumId w:val="12"/>
    <w:lvlOverride w:ilvl="0">
      <w:lvl w:ilvl="0">
        <w:numFmt w:val="decimal"/>
        <w:lvlText w:val="%1."/>
        <w:lvlJc w:val="left"/>
      </w:lvl>
    </w:lvlOverride>
  </w:num>
  <w:num w:numId="13" w16cid:durableId="32004472">
    <w:abstractNumId w:val="12"/>
    <w:lvlOverride w:ilvl="0">
      <w:lvl w:ilvl="0">
        <w:numFmt w:val="decimal"/>
        <w:lvlText w:val="%1."/>
        <w:lvlJc w:val="left"/>
      </w:lvl>
    </w:lvlOverride>
  </w:num>
  <w:num w:numId="14" w16cid:durableId="1191531165">
    <w:abstractNumId w:val="12"/>
    <w:lvlOverride w:ilvl="0">
      <w:lvl w:ilvl="0">
        <w:numFmt w:val="decimal"/>
        <w:lvlText w:val="%1."/>
        <w:lvlJc w:val="left"/>
      </w:lvl>
    </w:lvlOverride>
  </w:num>
  <w:num w:numId="15" w16cid:durableId="1302922934">
    <w:abstractNumId w:val="12"/>
    <w:lvlOverride w:ilvl="0">
      <w:lvl w:ilvl="0">
        <w:numFmt w:val="decimal"/>
        <w:lvlText w:val="%1."/>
        <w:lvlJc w:val="left"/>
      </w:lvl>
    </w:lvlOverride>
  </w:num>
  <w:num w:numId="16" w16cid:durableId="482546875">
    <w:abstractNumId w:val="12"/>
    <w:lvlOverride w:ilvl="0">
      <w:lvl w:ilvl="0">
        <w:numFmt w:val="decimal"/>
        <w:lvlText w:val="%1."/>
        <w:lvlJc w:val="left"/>
      </w:lvl>
    </w:lvlOverride>
  </w:num>
  <w:num w:numId="17" w16cid:durableId="920485580">
    <w:abstractNumId w:val="12"/>
    <w:lvlOverride w:ilvl="0">
      <w:lvl w:ilvl="0">
        <w:numFmt w:val="decimal"/>
        <w:lvlText w:val="%1."/>
        <w:lvlJc w:val="left"/>
      </w:lvl>
    </w:lvlOverride>
  </w:num>
  <w:num w:numId="18" w16cid:durableId="248932323">
    <w:abstractNumId w:val="12"/>
    <w:lvlOverride w:ilvl="0">
      <w:lvl w:ilvl="0">
        <w:numFmt w:val="decimal"/>
        <w:lvlText w:val="%1."/>
        <w:lvlJc w:val="left"/>
      </w:lvl>
    </w:lvlOverride>
  </w:num>
  <w:num w:numId="19" w16cid:durableId="840511055">
    <w:abstractNumId w:val="12"/>
    <w:lvlOverride w:ilvl="0">
      <w:lvl w:ilvl="0">
        <w:numFmt w:val="decimal"/>
        <w:lvlText w:val="%1."/>
        <w:lvlJc w:val="left"/>
      </w:lvl>
    </w:lvlOverride>
  </w:num>
  <w:num w:numId="20" w16cid:durableId="1411777113">
    <w:abstractNumId w:val="12"/>
    <w:lvlOverride w:ilvl="0">
      <w:lvl w:ilvl="0">
        <w:numFmt w:val="decimal"/>
        <w:lvlText w:val="%1."/>
        <w:lvlJc w:val="left"/>
      </w:lvl>
    </w:lvlOverride>
  </w:num>
  <w:num w:numId="21" w16cid:durableId="2053842986">
    <w:abstractNumId w:val="12"/>
    <w:lvlOverride w:ilvl="0">
      <w:lvl w:ilvl="0">
        <w:numFmt w:val="decimal"/>
        <w:lvlText w:val="%1."/>
        <w:lvlJc w:val="left"/>
      </w:lvl>
    </w:lvlOverride>
  </w:num>
  <w:num w:numId="22" w16cid:durableId="658853617">
    <w:abstractNumId w:val="12"/>
    <w:lvlOverride w:ilvl="0">
      <w:lvl w:ilvl="0">
        <w:numFmt w:val="decimal"/>
        <w:lvlText w:val="%1."/>
        <w:lvlJc w:val="left"/>
      </w:lvl>
    </w:lvlOverride>
  </w:num>
  <w:num w:numId="23" w16cid:durableId="450319809">
    <w:abstractNumId w:val="12"/>
    <w:lvlOverride w:ilvl="0">
      <w:lvl w:ilvl="0">
        <w:numFmt w:val="decimal"/>
        <w:lvlText w:val="%1."/>
        <w:lvlJc w:val="left"/>
      </w:lvl>
    </w:lvlOverride>
  </w:num>
  <w:num w:numId="24" w16cid:durableId="401148244">
    <w:abstractNumId w:val="12"/>
    <w:lvlOverride w:ilvl="0">
      <w:lvl w:ilvl="0">
        <w:numFmt w:val="decimal"/>
        <w:lvlText w:val="%1."/>
        <w:lvlJc w:val="left"/>
      </w:lvl>
    </w:lvlOverride>
  </w:num>
  <w:num w:numId="25" w16cid:durableId="1028796678">
    <w:abstractNumId w:val="12"/>
    <w:lvlOverride w:ilvl="0">
      <w:lvl w:ilvl="0">
        <w:numFmt w:val="decimal"/>
        <w:lvlText w:val="%1."/>
        <w:lvlJc w:val="left"/>
      </w:lvl>
    </w:lvlOverride>
  </w:num>
  <w:num w:numId="26" w16cid:durableId="985205290">
    <w:abstractNumId w:val="12"/>
    <w:lvlOverride w:ilvl="0">
      <w:lvl w:ilvl="0">
        <w:numFmt w:val="decimal"/>
        <w:lvlText w:val="%1."/>
        <w:lvlJc w:val="left"/>
      </w:lvl>
    </w:lvlOverride>
  </w:num>
  <w:num w:numId="27" w16cid:durableId="1456097685">
    <w:abstractNumId w:val="12"/>
    <w:lvlOverride w:ilvl="0">
      <w:lvl w:ilvl="0">
        <w:numFmt w:val="decimal"/>
        <w:lvlText w:val="%1."/>
        <w:lvlJc w:val="left"/>
      </w:lvl>
    </w:lvlOverride>
  </w:num>
  <w:num w:numId="28" w16cid:durableId="746346661">
    <w:abstractNumId w:val="12"/>
    <w:lvlOverride w:ilvl="0">
      <w:lvl w:ilvl="0">
        <w:numFmt w:val="decimal"/>
        <w:lvlText w:val="%1."/>
        <w:lvlJc w:val="left"/>
      </w:lvl>
    </w:lvlOverride>
  </w:num>
  <w:num w:numId="29" w16cid:durableId="1699042040">
    <w:abstractNumId w:val="12"/>
    <w:lvlOverride w:ilvl="0">
      <w:lvl w:ilvl="0">
        <w:numFmt w:val="decimal"/>
        <w:lvlText w:val="%1."/>
        <w:lvlJc w:val="left"/>
      </w:lvl>
    </w:lvlOverride>
  </w:num>
  <w:num w:numId="30" w16cid:durableId="598683768">
    <w:abstractNumId w:val="12"/>
    <w:lvlOverride w:ilvl="0">
      <w:lvl w:ilvl="0">
        <w:numFmt w:val="decimal"/>
        <w:lvlText w:val="%1."/>
        <w:lvlJc w:val="left"/>
      </w:lvl>
    </w:lvlOverride>
  </w:num>
  <w:num w:numId="31" w16cid:durableId="1119957078">
    <w:abstractNumId w:val="12"/>
    <w:lvlOverride w:ilvl="0">
      <w:lvl w:ilvl="0">
        <w:numFmt w:val="decimal"/>
        <w:lvlText w:val="%1."/>
        <w:lvlJc w:val="left"/>
      </w:lvl>
    </w:lvlOverride>
  </w:num>
  <w:num w:numId="32" w16cid:durableId="1726876334">
    <w:abstractNumId w:val="7"/>
  </w:num>
  <w:num w:numId="33" w16cid:durableId="223029807">
    <w:abstractNumId w:val="3"/>
  </w:num>
  <w:num w:numId="34" w16cid:durableId="1878539480">
    <w:abstractNumId w:val="1"/>
    <w:lvlOverride w:ilvl="0">
      <w:lvl w:ilvl="0">
        <w:numFmt w:val="decimal"/>
        <w:lvlText w:val="%1."/>
        <w:lvlJc w:val="left"/>
      </w:lvl>
    </w:lvlOverride>
  </w:num>
  <w:num w:numId="35" w16cid:durableId="1281717327">
    <w:abstractNumId w:val="1"/>
    <w:lvlOverride w:ilvl="0">
      <w:lvl w:ilvl="0">
        <w:numFmt w:val="decimal"/>
        <w:lvlText w:val="%1."/>
        <w:lvlJc w:val="left"/>
      </w:lvl>
    </w:lvlOverride>
  </w:num>
  <w:num w:numId="36" w16cid:durableId="1157847517">
    <w:abstractNumId w:val="1"/>
    <w:lvlOverride w:ilvl="0">
      <w:lvl w:ilvl="0">
        <w:numFmt w:val="decimal"/>
        <w:lvlText w:val="%1."/>
        <w:lvlJc w:val="left"/>
      </w:lvl>
    </w:lvlOverride>
  </w:num>
  <w:num w:numId="37" w16cid:durableId="1541361050">
    <w:abstractNumId w:val="6"/>
  </w:num>
  <w:num w:numId="38" w16cid:durableId="753163293">
    <w:abstractNumId w:val="10"/>
    <w:lvlOverride w:ilvl="0">
      <w:lvl w:ilvl="0">
        <w:numFmt w:val="decimal"/>
        <w:lvlText w:val="%1."/>
        <w:lvlJc w:val="left"/>
      </w:lvl>
    </w:lvlOverride>
  </w:num>
  <w:num w:numId="39" w16cid:durableId="1863201982">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0" w16cid:durableId="1176580449">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5.%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1" w16cid:durableId="1901747890">
    <w:abstractNumId w:val="12"/>
    <w:lvlOverride w:ilvl="0">
      <w:lvl w:ilvl="0">
        <w:start w:val="10"/>
        <w:numFmt w:val="decimal"/>
        <w:lvlText w:val="%1."/>
        <w:lvlJc w:val="left"/>
        <w:pPr>
          <w:tabs>
            <w:tab w:val="num" w:pos="720"/>
          </w:tabs>
          <w:ind w:left="720" w:hanging="360"/>
        </w:pPr>
        <w:rPr>
          <w:rFonts w:hint="default"/>
        </w:rPr>
      </w:lvl>
    </w:lvlOverride>
    <w:lvlOverride w:ilvl="1">
      <w:lvl w:ilvl="1">
        <w:start w:val="1"/>
        <w:numFmt w:val="decimal"/>
        <w:lvlText w:val="10.%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2" w16cid:durableId="1900742747">
    <w:abstractNumId w:val="12"/>
    <w:lvlOverride w:ilvl="0">
      <w:lvl w:ilvl="0">
        <w:start w:val="10"/>
        <w:numFmt w:val="decimal"/>
        <w:lvlText w:val="%1."/>
        <w:lvlJc w:val="left"/>
        <w:pPr>
          <w:tabs>
            <w:tab w:val="num" w:pos="720"/>
          </w:tabs>
          <w:ind w:left="720" w:hanging="360"/>
        </w:pPr>
        <w:rPr>
          <w:rFonts w:hint="default"/>
        </w:rPr>
      </w:lvl>
    </w:lvlOverride>
    <w:lvlOverride w:ilvl="1">
      <w:lvl w:ilvl="1">
        <w:start w:val="1"/>
        <w:numFmt w:val="decimal"/>
        <w:lvlText w:val="13.%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3" w16cid:durableId="1815944575">
    <w:abstractNumId w:val="4"/>
  </w:num>
  <w:num w:numId="44" w16cid:durableId="1436443042">
    <w:abstractNumId w:val="12"/>
    <w:lvlOverride w:ilvl="0">
      <w:lvl w:ilvl="0">
        <w:start w:val="10"/>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21.1.%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5" w16cid:durableId="1020007925">
    <w:abstractNumId w:val="4"/>
    <w:lvlOverride w:ilvl="0">
      <w:lvl w:ilvl="0">
        <w:start w:val="21"/>
        <w:numFmt w:val="decimal"/>
        <w:lvlText w:val="%1."/>
        <w:lvlJc w:val="left"/>
        <w:pPr>
          <w:ind w:left="444" w:hanging="444"/>
        </w:pPr>
        <w:rPr>
          <w:rFonts w:hint="default"/>
          <w:u w:val="single"/>
        </w:rPr>
      </w:lvl>
    </w:lvlOverride>
    <w:lvlOverride w:ilvl="1">
      <w:lvl w:ilvl="1">
        <w:start w:val="1"/>
        <w:numFmt w:val="decimal"/>
        <w:lvlText w:val="%1.%2."/>
        <w:lvlJc w:val="left"/>
        <w:pPr>
          <w:ind w:left="444" w:hanging="444"/>
        </w:pPr>
        <w:rPr>
          <w:rFonts w:hint="default"/>
          <w:u w:val="single"/>
        </w:rPr>
      </w:lvl>
    </w:lvlOverride>
    <w:lvlOverride w:ilvl="2">
      <w:lvl w:ilvl="2">
        <w:start w:val="1"/>
        <w:numFmt w:val="decimal"/>
        <w:lvlText w:val="%1.%2.%3."/>
        <w:lvlJc w:val="left"/>
        <w:pPr>
          <w:ind w:left="720" w:hanging="720"/>
        </w:pPr>
        <w:rPr>
          <w:rFonts w:hint="default"/>
          <w:u w:val="none"/>
        </w:rPr>
      </w:lvl>
    </w:lvlOverride>
    <w:lvlOverride w:ilvl="3">
      <w:lvl w:ilvl="3">
        <w:start w:val="1"/>
        <w:numFmt w:val="decimal"/>
        <w:lvlText w:val="%1.%2.%3.%4."/>
        <w:lvlJc w:val="left"/>
        <w:pPr>
          <w:ind w:left="720" w:hanging="72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080" w:hanging="108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440" w:hanging="144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6" w16cid:durableId="353114706">
    <w:abstractNumId w:val="4"/>
    <w:lvlOverride w:ilvl="0">
      <w:lvl w:ilvl="0">
        <w:start w:val="21"/>
        <w:numFmt w:val="decimal"/>
        <w:lvlText w:val="%1."/>
        <w:lvlJc w:val="left"/>
        <w:pPr>
          <w:ind w:left="444" w:hanging="444"/>
        </w:pPr>
        <w:rPr>
          <w:rFonts w:hint="default"/>
          <w:u w:val="single"/>
        </w:rPr>
      </w:lvl>
    </w:lvlOverride>
    <w:lvlOverride w:ilvl="1">
      <w:lvl w:ilvl="1">
        <w:start w:val="1"/>
        <w:numFmt w:val="none"/>
        <w:lvlText w:val="25.1"/>
        <w:lvlJc w:val="left"/>
        <w:pPr>
          <w:ind w:left="444" w:hanging="444"/>
        </w:pPr>
        <w:rPr>
          <w:rFonts w:hint="default"/>
          <w:u w:val="none"/>
        </w:rPr>
      </w:lvl>
    </w:lvlOverride>
    <w:lvlOverride w:ilvl="2">
      <w:lvl w:ilvl="2">
        <w:start w:val="1"/>
        <w:numFmt w:val="decimal"/>
        <w:lvlText w:val="%1.%2.%3."/>
        <w:lvlJc w:val="left"/>
        <w:pPr>
          <w:ind w:left="720" w:hanging="720"/>
        </w:pPr>
        <w:rPr>
          <w:rFonts w:hint="default"/>
          <w:u w:val="none"/>
        </w:rPr>
      </w:lvl>
    </w:lvlOverride>
    <w:lvlOverride w:ilvl="3">
      <w:lvl w:ilvl="3">
        <w:start w:val="1"/>
        <w:numFmt w:val="decimal"/>
        <w:lvlText w:val="%1.%2.%3.%4."/>
        <w:lvlJc w:val="left"/>
        <w:pPr>
          <w:ind w:left="720" w:hanging="72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080" w:hanging="108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440" w:hanging="144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7" w16cid:durableId="98935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71"/>
    <w:rsid w:val="0008204B"/>
    <w:rsid w:val="000C07A8"/>
    <w:rsid w:val="00105174"/>
    <w:rsid w:val="003842F3"/>
    <w:rsid w:val="00421D8F"/>
    <w:rsid w:val="005D41C8"/>
    <w:rsid w:val="00654026"/>
    <w:rsid w:val="007A5C7C"/>
    <w:rsid w:val="008270D7"/>
    <w:rsid w:val="0098676F"/>
    <w:rsid w:val="009A1F97"/>
    <w:rsid w:val="009C60CA"/>
    <w:rsid w:val="00AA618A"/>
    <w:rsid w:val="00B83742"/>
    <w:rsid w:val="00BC2A21"/>
    <w:rsid w:val="00C70AAA"/>
    <w:rsid w:val="00D14B5C"/>
    <w:rsid w:val="00D765FF"/>
    <w:rsid w:val="00DC457E"/>
    <w:rsid w:val="00EC3668"/>
    <w:rsid w:val="00EE7771"/>
    <w:rsid w:val="00F84879"/>
    <w:rsid w:val="00F93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E65CE"/>
  <w15:chartTrackingRefBased/>
  <w15:docId w15:val="{5EA2124A-786B-4625-B9F8-91F4E6A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7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7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77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77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77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77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77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77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77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7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77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77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77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77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77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7771"/>
    <w:rPr>
      <w:rFonts w:eastAsiaTheme="majorEastAsia" w:cstheme="majorBidi"/>
      <w:color w:val="595959" w:themeColor="text1" w:themeTint="A6"/>
    </w:rPr>
  </w:style>
  <w:style w:type="character" w:customStyle="1" w:styleId="80">
    <w:name w:val="Заголовок 8 Знак"/>
    <w:basedOn w:val="a0"/>
    <w:link w:val="8"/>
    <w:uiPriority w:val="9"/>
    <w:semiHidden/>
    <w:rsid w:val="00EE77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7771"/>
    <w:rPr>
      <w:rFonts w:eastAsiaTheme="majorEastAsia" w:cstheme="majorBidi"/>
      <w:color w:val="272727" w:themeColor="text1" w:themeTint="D8"/>
    </w:rPr>
  </w:style>
  <w:style w:type="paragraph" w:styleId="a3">
    <w:name w:val="Title"/>
    <w:basedOn w:val="a"/>
    <w:next w:val="a"/>
    <w:link w:val="a4"/>
    <w:uiPriority w:val="10"/>
    <w:qFormat/>
    <w:rsid w:val="00EE7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77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7771"/>
    <w:pPr>
      <w:spacing w:before="160"/>
      <w:jc w:val="center"/>
    </w:pPr>
    <w:rPr>
      <w:i/>
      <w:iCs/>
      <w:color w:val="404040" w:themeColor="text1" w:themeTint="BF"/>
    </w:rPr>
  </w:style>
  <w:style w:type="character" w:customStyle="1" w:styleId="22">
    <w:name w:val="Цитата 2 Знак"/>
    <w:basedOn w:val="a0"/>
    <w:link w:val="21"/>
    <w:uiPriority w:val="29"/>
    <w:rsid w:val="00EE7771"/>
    <w:rPr>
      <w:i/>
      <w:iCs/>
      <w:color w:val="404040" w:themeColor="text1" w:themeTint="BF"/>
    </w:rPr>
  </w:style>
  <w:style w:type="paragraph" w:styleId="a7">
    <w:name w:val="List Paragraph"/>
    <w:basedOn w:val="a"/>
    <w:uiPriority w:val="34"/>
    <w:qFormat/>
    <w:rsid w:val="00EE7771"/>
    <w:pPr>
      <w:ind w:left="720"/>
      <w:contextualSpacing/>
    </w:pPr>
  </w:style>
  <w:style w:type="character" w:styleId="a8">
    <w:name w:val="Intense Emphasis"/>
    <w:basedOn w:val="a0"/>
    <w:uiPriority w:val="21"/>
    <w:qFormat/>
    <w:rsid w:val="00EE7771"/>
    <w:rPr>
      <w:i/>
      <w:iCs/>
      <w:color w:val="2F5496" w:themeColor="accent1" w:themeShade="BF"/>
    </w:rPr>
  </w:style>
  <w:style w:type="paragraph" w:styleId="a9">
    <w:name w:val="Intense Quote"/>
    <w:basedOn w:val="a"/>
    <w:next w:val="a"/>
    <w:link w:val="aa"/>
    <w:uiPriority w:val="30"/>
    <w:qFormat/>
    <w:rsid w:val="00EE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7771"/>
    <w:rPr>
      <w:i/>
      <w:iCs/>
      <w:color w:val="2F5496" w:themeColor="accent1" w:themeShade="BF"/>
    </w:rPr>
  </w:style>
  <w:style w:type="character" w:styleId="ab">
    <w:name w:val="Intense Reference"/>
    <w:basedOn w:val="a0"/>
    <w:uiPriority w:val="32"/>
    <w:qFormat/>
    <w:rsid w:val="00EE7771"/>
    <w:rPr>
      <w:b/>
      <w:bCs/>
      <w:smallCaps/>
      <w:color w:val="2F5496" w:themeColor="accent1" w:themeShade="BF"/>
      <w:spacing w:val="5"/>
    </w:rPr>
  </w:style>
  <w:style w:type="paragraph" w:styleId="ac">
    <w:name w:val="No Spacing"/>
    <w:uiPriority w:val="1"/>
    <w:qFormat/>
    <w:rsid w:val="00C70AAA"/>
    <w:pPr>
      <w:spacing w:after="0" w:line="240" w:lineRule="auto"/>
    </w:pPr>
  </w:style>
  <w:style w:type="paragraph" w:styleId="ad">
    <w:name w:val="header"/>
    <w:basedOn w:val="a"/>
    <w:link w:val="ae"/>
    <w:uiPriority w:val="99"/>
    <w:unhideWhenUsed/>
    <w:rsid w:val="00DC457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C457E"/>
  </w:style>
  <w:style w:type="paragraph" w:styleId="af">
    <w:name w:val="footer"/>
    <w:basedOn w:val="a"/>
    <w:link w:val="af0"/>
    <w:uiPriority w:val="99"/>
    <w:unhideWhenUsed/>
    <w:rsid w:val="00DC457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C457E"/>
  </w:style>
  <w:style w:type="paragraph" w:styleId="af1">
    <w:name w:val="Balloon Text"/>
    <w:basedOn w:val="a"/>
    <w:link w:val="af2"/>
    <w:uiPriority w:val="99"/>
    <w:semiHidden/>
    <w:unhideWhenUsed/>
    <w:rsid w:val="00DC457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C4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4124">
      <w:bodyDiv w:val="1"/>
      <w:marLeft w:val="0"/>
      <w:marRight w:val="0"/>
      <w:marTop w:val="0"/>
      <w:marBottom w:val="0"/>
      <w:divBdr>
        <w:top w:val="none" w:sz="0" w:space="0" w:color="auto"/>
        <w:left w:val="none" w:sz="0" w:space="0" w:color="auto"/>
        <w:bottom w:val="none" w:sz="0" w:space="0" w:color="auto"/>
        <w:right w:val="none" w:sz="0" w:space="0" w:color="auto"/>
      </w:divBdr>
    </w:div>
    <w:div w:id="1152254159">
      <w:bodyDiv w:val="1"/>
      <w:marLeft w:val="0"/>
      <w:marRight w:val="0"/>
      <w:marTop w:val="0"/>
      <w:marBottom w:val="0"/>
      <w:divBdr>
        <w:top w:val="none" w:sz="0" w:space="0" w:color="auto"/>
        <w:left w:val="none" w:sz="0" w:space="0" w:color="auto"/>
        <w:bottom w:val="none" w:sz="0" w:space="0" w:color="auto"/>
        <w:right w:val="none" w:sz="0" w:space="0" w:color="auto"/>
      </w:divBdr>
    </w:div>
    <w:div w:id="1305281128">
      <w:bodyDiv w:val="1"/>
      <w:marLeft w:val="0"/>
      <w:marRight w:val="0"/>
      <w:marTop w:val="0"/>
      <w:marBottom w:val="0"/>
      <w:divBdr>
        <w:top w:val="none" w:sz="0" w:space="0" w:color="auto"/>
        <w:left w:val="none" w:sz="0" w:space="0" w:color="auto"/>
        <w:bottom w:val="none" w:sz="0" w:space="0" w:color="auto"/>
        <w:right w:val="none" w:sz="0" w:space="0" w:color="auto"/>
      </w:divBdr>
    </w:div>
    <w:div w:id="14467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2844</Words>
  <Characters>16211</Characters>
  <Application>Microsoft Office Word</Application>
  <DocSecurity>0</DocSecurity>
  <Lines>135</Lines>
  <Paragraphs>38</Paragraphs>
  <ScaleCrop>false</ScaleCrop>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2025-03-13T18:19:00Z</cp:lastPrinted>
  <dcterms:created xsi:type="dcterms:W3CDTF">2025-03-10T11:47:00Z</dcterms:created>
  <dcterms:modified xsi:type="dcterms:W3CDTF">2025-03-26T17:23:00Z</dcterms:modified>
</cp:coreProperties>
</file>