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5185E" w14:textId="77777777" w:rsidR="00394616" w:rsidRPr="007C00BE" w:rsidRDefault="00394616" w:rsidP="00394616">
      <w:pPr>
        <w:pStyle w:val="a7"/>
        <w:ind w:left="5103"/>
        <w:rPr>
          <w:rFonts w:ascii="Times New Roman" w:hAnsi="Times New Roman" w:cs="Times New Roman"/>
          <w:b/>
          <w:bCs/>
          <w:lang w:val="ru-RU"/>
        </w:rPr>
      </w:pPr>
      <w:r w:rsidRPr="007C00BE">
        <w:rPr>
          <w:rFonts w:ascii="Times New Roman" w:hAnsi="Times New Roman" w:cs="Times New Roman"/>
          <w:b/>
          <w:bCs/>
          <w:lang w:val="ru-RU"/>
        </w:rPr>
        <w:t>«ЗАТВЕРДЖЕНО»</w:t>
      </w:r>
    </w:p>
    <w:p w14:paraId="3F94AE35" w14:textId="77777777" w:rsidR="00394616" w:rsidRPr="007C00BE" w:rsidRDefault="00394616" w:rsidP="00394616">
      <w:pPr>
        <w:pStyle w:val="a7"/>
        <w:ind w:left="5103"/>
        <w:rPr>
          <w:rFonts w:ascii="Times New Roman" w:hAnsi="Times New Roman" w:cs="Times New Roman"/>
          <w:b/>
          <w:bCs/>
          <w:lang w:val="ru-RU"/>
        </w:rPr>
      </w:pPr>
      <w:r w:rsidRPr="007C00BE">
        <w:rPr>
          <w:rFonts w:ascii="Times New Roman" w:hAnsi="Times New Roman" w:cs="Times New Roman"/>
          <w:b/>
          <w:bCs/>
          <w:lang w:val="ru-RU"/>
        </w:rPr>
        <w:t>Директор</w:t>
      </w:r>
    </w:p>
    <w:p w14:paraId="45EBFBD9" w14:textId="77777777" w:rsidR="00394616" w:rsidRPr="007C00BE" w:rsidRDefault="00394616" w:rsidP="00394616">
      <w:pPr>
        <w:pStyle w:val="a7"/>
        <w:ind w:left="5103"/>
        <w:rPr>
          <w:rFonts w:ascii="Times New Roman" w:hAnsi="Times New Roman" w:cs="Times New Roman"/>
          <w:b/>
          <w:bCs/>
          <w:lang w:val="ru-RU"/>
        </w:rPr>
      </w:pPr>
      <w:r w:rsidRPr="007C00BE">
        <w:rPr>
          <w:rFonts w:ascii="Times New Roman" w:hAnsi="Times New Roman" w:cs="Times New Roman"/>
          <w:b/>
          <w:bCs/>
          <w:lang w:val="ru-RU"/>
        </w:rPr>
        <w:t xml:space="preserve">ТОВ «ПРДТ ФОНДОВИЙ ЦЕНТР»   </w:t>
      </w:r>
    </w:p>
    <w:p w14:paraId="09299072" w14:textId="77777777" w:rsidR="00394616" w:rsidRPr="007C00BE" w:rsidRDefault="00394616" w:rsidP="00394616">
      <w:pPr>
        <w:pStyle w:val="a7"/>
        <w:ind w:left="5103"/>
        <w:rPr>
          <w:rFonts w:ascii="Times New Roman" w:hAnsi="Times New Roman" w:cs="Times New Roman"/>
          <w:b/>
          <w:bCs/>
          <w:lang w:val="ru-RU"/>
        </w:rPr>
      </w:pPr>
      <w:r w:rsidRPr="007C00BE">
        <w:rPr>
          <w:rFonts w:ascii="Times New Roman" w:hAnsi="Times New Roman" w:cs="Times New Roman"/>
          <w:b/>
          <w:bCs/>
          <w:lang w:val="ru-RU"/>
        </w:rPr>
        <w:t>Голопотелюк О. В.</w:t>
      </w:r>
    </w:p>
    <w:p w14:paraId="1A972C60" w14:textId="77777777" w:rsidR="00394616" w:rsidRPr="007C00BE" w:rsidRDefault="00394616" w:rsidP="00394616">
      <w:pPr>
        <w:pStyle w:val="a7"/>
        <w:ind w:left="5103"/>
        <w:rPr>
          <w:rFonts w:ascii="Times New Roman" w:hAnsi="Times New Roman" w:cs="Times New Roman"/>
          <w:b/>
          <w:bCs/>
          <w:lang w:val="ru-RU"/>
        </w:rPr>
      </w:pPr>
    </w:p>
    <w:p w14:paraId="348E12E0" w14:textId="77777777" w:rsidR="00394616" w:rsidRPr="00CD29E3" w:rsidRDefault="00394616" w:rsidP="00394616">
      <w:pPr>
        <w:pStyle w:val="a7"/>
        <w:ind w:left="5103"/>
        <w:rPr>
          <w:rFonts w:ascii="Times New Roman" w:hAnsi="Times New Roman" w:cs="Times New Roman"/>
          <w:b/>
          <w:bCs/>
          <w:lang w:val="ru-RU"/>
        </w:rPr>
      </w:pPr>
      <w:r w:rsidRPr="00CD29E3">
        <w:rPr>
          <w:rFonts w:ascii="Times New Roman" w:hAnsi="Times New Roman" w:cs="Times New Roman"/>
          <w:b/>
          <w:bCs/>
          <w:lang w:val="ru-RU"/>
        </w:rPr>
        <w:t>_______________</w:t>
      </w:r>
    </w:p>
    <w:p w14:paraId="066BA710" w14:textId="77777777" w:rsidR="00CC72AC" w:rsidRPr="00CD29E3" w:rsidRDefault="00CC72AC" w:rsidP="00CC72AC">
      <w:pPr>
        <w:pStyle w:val="a7"/>
        <w:ind w:left="5103"/>
        <w:rPr>
          <w:rFonts w:ascii="Times New Roman" w:hAnsi="Times New Roman" w:cs="Times New Roman"/>
          <w:b/>
          <w:bCs/>
          <w:lang w:val="ru-RU"/>
        </w:rPr>
      </w:pPr>
      <w:r w:rsidRPr="00CD29E3">
        <w:rPr>
          <w:rFonts w:ascii="Times New Roman" w:hAnsi="Times New Roman" w:cs="Times New Roman"/>
          <w:b/>
          <w:bCs/>
          <w:lang w:val="ru-RU"/>
        </w:rPr>
        <w:t xml:space="preserve">Наказ № </w:t>
      </w:r>
      <w:r>
        <w:rPr>
          <w:rFonts w:ascii="Times New Roman" w:hAnsi="Times New Roman" w:cs="Times New Roman"/>
          <w:b/>
          <w:bCs/>
          <w:lang w:val="ru-RU"/>
        </w:rPr>
        <w:t>2</w:t>
      </w:r>
      <w:r w:rsidRPr="00CD29E3">
        <w:rPr>
          <w:rFonts w:ascii="Times New Roman" w:hAnsi="Times New Roman" w:cs="Times New Roman"/>
          <w:b/>
          <w:bCs/>
          <w:lang w:val="ru-RU"/>
        </w:rPr>
        <w:t xml:space="preserve"> від « </w:t>
      </w:r>
      <w:r>
        <w:rPr>
          <w:rFonts w:ascii="Times New Roman" w:hAnsi="Times New Roman" w:cs="Times New Roman"/>
          <w:b/>
          <w:bCs/>
          <w:lang w:val="ru-RU"/>
        </w:rPr>
        <w:t>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                                                                                                 Вводиться в дію з </w:t>
      </w:r>
      <w:r>
        <w:rPr>
          <w:rFonts w:ascii="Times New Roman" w:hAnsi="Times New Roman" w:cs="Times New Roman"/>
          <w:b/>
          <w:bCs/>
          <w:lang w:val="ru-RU"/>
        </w:rPr>
        <w:t>« 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w:t>
      </w:r>
    </w:p>
    <w:p w14:paraId="31F76190" w14:textId="77777777" w:rsidR="00CB2973" w:rsidRPr="00CB2973" w:rsidRDefault="00CB2973" w:rsidP="00CB2973">
      <w:pPr>
        <w:spacing w:line="240" w:lineRule="auto"/>
        <w:rPr>
          <w:rFonts w:ascii="Times New Roman" w:hAnsi="Times New Roman" w:cs="Times New Roman"/>
          <w:lang w:val="ru-RU"/>
        </w:rPr>
      </w:pPr>
    </w:p>
    <w:p w14:paraId="7A66B291" w14:textId="77777777" w:rsidR="00CB2973" w:rsidRPr="00C75965" w:rsidRDefault="00CB2973" w:rsidP="00C75965">
      <w:pPr>
        <w:spacing w:line="240" w:lineRule="auto"/>
        <w:jc w:val="center"/>
        <w:rPr>
          <w:rFonts w:ascii="Times New Roman" w:hAnsi="Times New Roman" w:cs="Times New Roman"/>
          <w:sz w:val="28"/>
          <w:szCs w:val="28"/>
          <w:lang w:val="ru-RU"/>
        </w:rPr>
      </w:pPr>
      <w:r w:rsidRPr="00C75965">
        <w:rPr>
          <w:rFonts w:ascii="Times New Roman" w:hAnsi="Times New Roman" w:cs="Times New Roman"/>
          <w:b/>
          <w:bCs/>
          <w:sz w:val="28"/>
          <w:szCs w:val="28"/>
          <w:lang w:val="ru-RU"/>
        </w:rPr>
        <w:t>Х. Вимоги, спрямовані на врегулювання та запобігання конфлікту інтересів при провадженні професійної діяльності на фондовому ринку</w:t>
      </w:r>
    </w:p>
    <w:p w14:paraId="50DD5C09" w14:textId="2AE51E2F" w:rsidR="00CB2973" w:rsidRPr="00CB2973" w:rsidRDefault="00CB2973" w:rsidP="00C75965">
      <w:pPr>
        <w:spacing w:line="240" w:lineRule="auto"/>
        <w:ind w:firstLine="360"/>
        <w:rPr>
          <w:rFonts w:ascii="Times New Roman" w:hAnsi="Times New Roman" w:cs="Times New Roman"/>
          <w:lang w:val="ru-RU"/>
        </w:rPr>
      </w:pPr>
      <w:r w:rsidRPr="00CB2973">
        <w:rPr>
          <w:rFonts w:ascii="Times New Roman" w:hAnsi="Times New Roman" w:cs="Times New Roman"/>
          <w:lang w:val="ru-RU"/>
        </w:rPr>
        <w:t xml:space="preserve">Цей документ є складовою Положення про провадження діяльності з торгівлі фінансовими інструментами в </w:t>
      </w:r>
      <w:r w:rsidR="00C75965">
        <w:rPr>
          <w:rFonts w:ascii="Times New Roman" w:hAnsi="Times New Roman" w:cs="Times New Roman"/>
          <w:lang w:val="ru-RU"/>
        </w:rPr>
        <w:t>ТОВ "ПРДТ ФОНДОВИЙ ЦЕНТР"</w:t>
      </w:r>
      <w:r w:rsidRPr="00CB2973">
        <w:rPr>
          <w:rFonts w:ascii="Times New Roman" w:hAnsi="Times New Roman" w:cs="Times New Roman"/>
          <w:lang w:val="ru-RU"/>
        </w:rPr>
        <w:t xml:space="preserve"> та встановлює вимоги, спрямовані на врегулювання та запобігання конфлікту інтересів при провадженні професійної діяльності на фондовому ринку.</w:t>
      </w:r>
    </w:p>
    <w:p w14:paraId="5720ACBF" w14:textId="77777777" w:rsidR="00CB2973" w:rsidRPr="00CB2973" w:rsidRDefault="00CB2973" w:rsidP="00C75965">
      <w:pPr>
        <w:numPr>
          <w:ilvl w:val="0"/>
          <w:numId w:val="9"/>
        </w:numPr>
        <w:tabs>
          <w:tab w:val="clear" w:pos="720"/>
          <w:tab w:val="num" w:pos="0"/>
        </w:tabs>
        <w:spacing w:line="240" w:lineRule="auto"/>
        <w:ind w:left="0" w:firstLine="0"/>
        <w:rPr>
          <w:rFonts w:ascii="Times New Roman" w:hAnsi="Times New Roman" w:cs="Times New Roman"/>
          <w:lang w:val="ru-RU"/>
        </w:rPr>
      </w:pPr>
      <w:r w:rsidRPr="00CB2973">
        <w:rPr>
          <w:rFonts w:ascii="Times New Roman" w:hAnsi="Times New Roman" w:cs="Times New Roman"/>
          <w:lang w:val="ru-RU"/>
        </w:rPr>
        <w:t>Конфлікт інтересів – це наявні та потенційні суперечності між особистими інтересами і посадовими чи професійними обов'язками особи, що можуть вплинути на добросовісне виконання нею своїх повноважень, об'єктивність та неупередженість прийняття рішень;</w:t>
      </w:r>
    </w:p>
    <w:p w14:paraId="1B8FEF4F" w14:textId="77777777" w:rsidR="00CB2973" w:rsidRPr="00CB2973" w:rsidRDefault="00CB2973" w:rsidP="00C75965">
      <w:pPr>
        <w:numPr>
          <w:ilvl w:val="0"/>
          <w:numId w:val="9"/>
        </w:numPr>
        <w:tabs>
          <w:tab w:val="clear" w:pos="720"/>
          <w:tab w:val="num" w:pos="0"/>
        </w:tabs>
        <w:spacing w:line="240" w:lineRule="auto"/>
        <w:ind w:left="0" w:firstLine="0"/>
        <w:rPr>
          <w:rFonts w:ascii="Times New Roman" w:hAnsi="Times New Roman" w:cs="Times New Roman"/>
          <w:lang w:val="ru-RU"/>
        </w:rPr>
      </w:pPr>
      <w:r w:rsidRPr="00CB2973">
        <w:rPr>
          <w:rFonts w:ascii="Times New Roman" w:hAnsi="Times New Roman" w:cs="Times New Roman"/>
          <w:lang w:val="ru-RU"/>
        </w:rPr>
        <w:t>Інвестиційна фірма докладає максимальних зусиль для врегулювання та запобігання виникнення конфлікту інтересів посадових осіб, працівників Інвестиційної фірми і клієнтів Інвестиційної фірми.</w:t>
      </w:r>
    </w:p>
    <w:p w14:paraId="7BDC6DF5" w14:textId="77777777" w:rsidR="00CB2973" w:rsidRPr="00CB2973" w:rsidRDefault="00CB2973" w:rsidP="00C75965">
      <w:pPr>
        <w:numPr>
          <w:ilvl w:val="0"/>
          <w:numId w:val="9"/>
        </w:numPr>
        <w:tabs>
          <w:tab w:val="clear" w:pos="720"/>
          <w:tab w:val="num" w:pos="0"/>
        </w:tabs>
        <w:spacing w:line="240" w:lineRule="auto"/>
        <w:ind w:left="0" w:firstLine="0"/>
        <w:rPr>
          <w:rFonts w:ascii="Times New Roman" w:hAnsi="Times New Roman" w:cs="Times New Roman"/>
          <w:lang w:val="ru-RU"/>
        </w:rPr>
      </w:pPr>
      <w:r w:rsidRPr="00CB2973">
        <w:rPr>
          <w:rFonts w:ascii="Times New Roman" w:hAnsi="Times New Roman" w:cs="Times New Roman"/>
          <w:lang w:val="ru-RU"/>
        </w:rPr>
        <w:t>Процедури спрямовані на врегулювання та запобігання конфлікту інтересів включають: </w:t>
      </w:r>
    </w:p>
    <w:p w14:paraId="52733C0D" w14:textId="77777777" w:rsidR="00CB2973" w:rsidRPr="00C75965" w:rsidRDefault="00CB2973" w:rsidP="00C75965">
      <w:pPr>
        <w:pStyle w:val="ac"/>
        <w:numPr>
          <w:ilvl w:val="0"/>
          <w:numId w:val="30"/>
        </w:numPr>
        <w:rPr>
          <w:rFonts w:ascii="Times New Roman" w:hAnsi="Times New Roman" w:cs="Times New Roman"/>
          <w:lang w:val="ru-RU"/>
        </w:rPr>
      </w:pPr>
      <w:r w:rsidRPr="00C75965">
        <w:rPr>
          <w:rFonts w:ascii="Times New Roman" w:hAnsi="Times New Roman" w:cs="Times New Roman"/>
          <w:lang w:val="ru-RU"/>
        </w:rPr>
        <w:t>ефективні процедури, щоб запобігти або контролювати обмін інформацією між відповідними особами, які займаються діяльністю, яка пов'язана з ризиком конфлікту інтересів, якщо обмін цією інформацією може зашкодити інтересам одного або кількох клієнтів;</w:t>
      </w:r>
    </w:p>
    <w:p w14:paraId="29D395DE" w14:textId="77777777" w:rsidR="00CB2973" w:rsidRPr="00C75965" w:rsidRDefault="00CB2973" w:rsidP="00C75965">
      <w:pPr>
        <w:pStyle w:val="ac"/>
        <w:numPr>
          <w:ilvl w:val="0"/>
          <w:numId w:val="30"/>
        </w:numPr>
        <w:rPr>
          <w:rFonts w:ascii="Times New Roman" w:hAnsi="Times New Roman" w:cs="Times New Roman"/>
          <w:lang w:val="ru-RU"/>
        </w:rPr>
      </w:pPr>
      <w:r w:rsidRPr="00C75965">
        <w:rPr>
          <w:rFonts w:ascii="Times New Roman" w:hAnsi="Times New Roman" w:cs="Times New Roman"/>
          <w:lang w:val="ru-RU"/>
        </w:rPr>
        <w:t>окремий нагляд за відповідними особами, основні функції яких передбачають здійснення діяльності від імені клієнтів або надання послуг клієнтам, інтереси яких можуть суперечити, або які іншим чином представляють різні інтереси, які можуть суперечити, в тому числі інтересам Інвестиційної фірми;</w:t>
      </w:r>
    </w:p>
    <w:p w14:paraId="352922A4" w14:textId="77777777" w:rsidR="00CB2973" w:rsidRPr="00C75965" w:rsidRDefault="00CB2973" w:rsidP="00C75965">
      <w:pPr>
        <w:pStyle w:val="ac"/>
        <w:numPr>
          <w:ilvl w:val="0"/>
          <w:numId w:val="30"/>
        </w:numPr>
        <w:rPr>
          <w:rFonts w:ascii="Times New Roman" w:hAnsi="Times New Roman" w:cs="Times New Roman"/>
          <w:lang w:val="ru-RU"/>
        </w:rPr>
      </w:pPr>
      <w:r w:rsidRPr="00C75965">
        <w:rPr>
          <w:rFonts w:ascii="Times New Roman" w:hAnsi="Times New Roman" w:cs="Times New Roman"/>
          <w:lang w:val="ru-RU"/>
        </w:rPr>
        <w:t>усунення будь-якого прямого зв'язку між винагородою відповідних осіб, які головним чином займаються однією діяльністю, та винагородою або доходами, отриманими іншими відповідними особами, які головним чином займаються іншою діяльністю, якщо може виникнути конфлікт інтересів у відношенні такої діяльності;</w:t>
      </w:r>
    </w:p>
    <w:p w14:paraId="0622C1E0" w14:textId="77777777" w:rsidR="00CB2973" w:rsidRPr="00C75965" w:rsidRDefault="00CB2973" w:rsidP="00C75965">
      <w:pPr>
        <w:pStyle w:val="ac"/>
        <w:numPr>
          <w:ilvl w:val="0"/>
          <w:numId w:val="30"/>
        </w:numPr>
        <w:rPr>
          <w:rFonts w:ascii="Times New Roman" w:hAnsi="Times New Roman" w:cs="Times New Roman"/>
          <w:lang w:val="ru-RU"/>
        </w:rPr>
      </w:pPr>
      <w:r w:rsidRPr="00C75965">
        <w:rPr>
          <w:rFonts w:ascii="Times New Roman" w:hAnsi="Times New Roman" w:cs="Times New Roman"/>
          <w:lang w:val="ru-RU"/>
        </w:rPr>
        <w:t>заходи, спрямовані на запобігання або обмеження неприпустимого впливу будь-якої особи на способи у які відповідна особа надає інвестиційні послуги чи провадить таку діяльність;</w:t>
      </w:r>
    </w:p>
    <w:p w14:paraId="7E746F1C" w14:textId="77777777" w:rsidR="00CB2973" w:rsidRPr="00C75965" w:rsidRDefault="00CB2973" w:rsidP="00C75965">
      <w:pPr>
        <w:pStyle w:val="ac"/>
        <w:numPr>
          <w:ilvl w:val="0"/>
          <w:numId w:val="30"/>
        </w:numPr>
        <w:rPr>
          <w:rFonts w:ascii="Times New Roman" w:hAnsi="Times New Roman" w:cs="Times New Roman"/>
          <w:lang w:val="ru-RU"/>
        </w:rPr>
      </w:pPr>
      <w:r w:rsidRPr="00C75965">
        <w:rPr>
          <w:rFonts w:ascii="Times New Roman" w:hAnsi="Times New Roman" w:cs="Times New Roman"/>
          <w:lang w:val="ru-RU"/>
        </w:rPr>
        <w:t>заходи, спрямовані на запобігання або контроль одночасного або послідовного залучення відповідної особи до інвестиційних послуг чи діяльності, якщо таке залучення може погіршити належне управління конфліктами інтересів.</w:t>
      </w:r>
    </w:p>
    <w:p w14:paraId="53D782FA" w14:textId="77777777" w:rsidR="00CB2973" w:rsidRPr="00CB2973" w:rsidRDefault="00CB2973" w:rsidP="00CB2973">
      <w:pPr>
        <w:numPr>
          <w:ilvl w:val="0"/>
          <w:numId w:val="11"/>
        </w:numPr>
        <w:spacing w:line="240" w:lineRule="auto"/>
        <w:rPr>
          <w:rFonts w:ascii="Times New Roman" w:hAnsi="Times New Roman" w:cs="Times New Roman"/>
          <w:lang w:val="ru-RU"/>
        </w:rPr>
      </w:pPr>
      <w:r w:rsidRPr="00CB2973">
        <w:rPr>
          <w:rFonts w:ascii="Times New Roman" w:hAnsi="Times New Roman" w:cs="Times New Roman"/>
          <w:lang w:val="ru-RU"/>
        </w:rPr>
        <w:t> Для визначення видів конфлікту інтересів, що виникають при наданні інвестиційних послуг, існування яких можуть зашкодити інтересам клієнта, Інвестиційна фірма враховує, чи може Інвестиційна фірма, відповідна особа або особа, яка має прямий чи опосередкований контроль над Інвестиційною фірмою, потрапити в будь-яку з таких ситуацій:</w:t>
      </w:r>
    </w:p>
    <w:p w14:paraId="0DC889C3" w14:textId="77777777" w:rsidR="00CB2973" w:rsidRPr="00C75965" w:rsidRDefault="00CB2973" w:rsidP="00C75965">
      <w:pPr>
        <w:pStyle w:val="ac"/>
        <w:numPr>
          <w:ilvl w:val="0"/>
          <w:numId w:val="31"/>
        </w:numPr>
        <w:rPr>
          <w:rFonts w:ascii="Times New Roman" w:hAnsi="Times New Roman" w:cs="Times New Roman"/>
          <w:lang w:val="ru-RU"/>
        </w:rPr>
      </w:pPr>
      <w:r w:rsidRPr="00C75965">
        <w:rPr>
          <w:rFonts w:ascii="Times New Roman" w:hAnsi="Times New Roman" w:cs="Times New Roman"/>
          <w:lang w:val="ru-RU"/>
        </w:rPr>
        <w:t>Інвестиційна фірма або зазначена особа зможе отримати фінансову вигоду або уникнути фінансових збитків за рахунок клієнта;</w:t>
      </w:r>
    </w:p>
    <w:p w14:paraId="6159C89E" w14:textId="77777777" w:rsidR="00CB2973" w:rsidRPr="00C75965" w:rsidRDefault="00CB2973" w:rsidP="00C75965">
      <w:pPr>
        <w:pStyle w:val="ac"/>
        <w:numPr>
          <w:ilvl w:val="0"/>
          <w:numId w:val="31"/>
        </w:numPr>
        <w:rPr>
          <w:rFonts w:ascii="Times New Roman" w:hAnsi="Times New Roman" w:cs="Times New Roman"/>
          <w:lang w:val="ru-RU"/>
        </w:rPr>
      </w:pPr>
      <w:r w:rsidRPr="00C75965">
        <w:rPr>
          <w:rFonts w:ascii="Times New Roman" w:hAnsi="Times New Roman" w:cs="Times New Roman"/>
          <w:lang w:val="ru-RU"/>
        </w:rPr>
        <w:t>Інвестиційна фірма або зазначена особа має інтерес у результаті надання послуг клієнту або у результаті операції, здійсненої від імені клієнта, який відрізняється від інтересу клієнта в результаті такої операції;</w:t>
      </w:r>
    </w:p>
    <w:p w14:paraId="4C7239E0" w14:textId="77777777" w:rsidR="00CB2973" w:rsidRPr="00C75965" w:rsidRDefault="00CB2973" w:rsidP="00C75965">
      <w:pPr>
        <w:pStyle w:val="ac"/>
        <w:numPr>
          <w:ilvl w:val="0"/>
          <w:numId w:val="31"/>
        </w:numPr>
        <w:rPr>
          <w:rFonts w:ascii="Times New Roman" w:hAnsi="Times New Roman" w:cs="Times New Roman"/>
          <w:lang w:val="ru-RU"/>
        </w:rPr>
      </w:pPr>
      <w:r w:rsidRPr="00C75965">
        <w:rPr>
          <w:rFonts w:ascii="Times New Roman" w:hAnsi="Times New Roman" w:cs="Times New Roman"/>
          <w:lang w:val="ru-RU"/>
        </w:rPr>
        <w:t>Інвестиційна фірма або зазначена особа має фінансовий чи інший стимул надати перевагу інтересам іншого клієнта або групи клієнтів над інтересами клієнта;</w:t>
      </w:r>
    </w:p>
    <w:p w14:paraId="55233677" w14:textId="77777777" w:rsidR="00CB2973" w:rsidRPr="00C75965" w:rsidRDefault="00CB2973" w:rsidP="00C75965">
      <w:pPr>
        <w:pStyle w:val="ac"/>
        <w:numPr>
          <w:ilvl w:val="0"/>
          <w:numId w:val="31"/>
        </w:numPr>
        <w:rPr>
          <w:rFonts w:ascii="Times New Roman" w:hAnsi="Times New Roman" w:cs="Times New Roman"/>
          <w:lang w:val="ru-RU"/>
        </w:rPr>
      </w:pPr>
      <w:r w:rsidRPr="00C75965">
        <w:rPr>
          <w:rFonts w:ascii="Times New Roman" w:hAnsi="Times New Roman" w:cs="Times New Roman"/>
          <w:lang w:val="ru-RU"/>
        </w:rPr>
        <w:t>Інвестиційна фірма або зазначена особа здійснюють такий самий вид діяльності, що й клієнт;</w:t>
      </w:r>
    </w:p>
    <w:p w14:paraId="42ED693E" w14:textId="77777777" w:rsidR="00CB2973" w:rsidRPr="00C75965" w:rsidRDefault="00CB2973" w:rsidP="00C75965">
      <w:pPr>
        <w:pStyle w:val="ac"/>
        <w:numPr>
          <w:ilvl w:val="0"/>
          <w:numId w:val="31"/>
        </w:numPr>
        <w:rPr>
          <w:rFonts w:ascii="Times New Roman" w:hAnsi="Times New Roman" w:cs="Times New Roman"/>
          <w:lang w:val="ru-RU"/>
        </w:rPr>
      </w:pPr>
      <w:r w:rsidRPr="00C75965">
        <w:rPr>
          <w:rFonts w:ascii="Times New Roman" w:hAnsi="Times New Roman" w:cs="Times New Roman"/>
          <w:lang w:val="ru-RU"/>
        </w:rPr>
        <w:t>Інвестиційна фірма або зазначена особа отримує або отримає від особи, яка не є клієнтом, стимул у зв'язку з послугою, наданою клієнту, у вигляді грошової або негрошової вигоди або послуг.</w:t>
      </w:r>
    </w:p>
    <w:p w14:paraId="28EB4C96" w14:textId="77777777" w:rsidR="00CB2973" w:rsidRPr="00CB2973" w:rsidRDefault="00CB2973" w:rsidP="00CB2973">
      <w:pPr>
        <w:numPr>
          <w:ilvl w:val="0"/>
          <w:numId w:val="13"/>
        </w:numPr>
        <w:spacing w:line="240" w:lineRule="auto"/>
        <w:rPr>
          <w:rFonts w:ascii="Times New Roman" w:hAnsi="Times New Roman" w:cs="Times New Roman"/>
          <w:lang w:val="ru-RU"/>
        </w:rPr>
      </w:pPr>
      <w:r w:rsidRPr="00CB2973">
        <w:rPr>
          <w:rFonts w:ascii="Times New Roman" w:hAnsi="Times New Roman" w:cs="Times New Roman"/>
          <w:lang w:val="ru-RU"/>
        </w:rPr>
        <w:lastRenderedPageBreak/>
        <w:t>Інвестиційна фірма вживає всіх необхідних заходів для виявлення та запобігання чи усунення конфліктів інтересів між собою, зокрема своїми керівниками, працівниками чи будь-якою особою, прямо чи опосередковано пов'язану з ним відносинами контролю, та його клієнтами, або між двома клієнтами, що виникають у процесі надання інвестиційних послуг, зокрема конфліктів, спричинених отриманням заохочень від третіх осіб або системою оплати праці Інвестиційної фірми чи іншими способами стимулювання Інвестиційної фірми.</w:t>
      </w:r>
    </w:p>
    <w:p w14:paraId="65E5E0E5" w14:textId="77777777" w:rsidR="00CB2973" w:rsidRPr="00CB2973" w:rsidRDefault="00CB2973" w:rsidP="00CB2973">
      <w:pPr>
        <w:numPr>
          <w:ilvl w:val="0"/>
          <w:numId w:val="14"/>
        </w:numPr>
        <w:spacing w:line="240" w:lineRule="auto"/>
        <w:rPr>
          <w:rFonts w:ascii="Times New Roman" w:hAnsi="Times New Roman" w:cs="Times New Roman"/>
          <w:lang w:val="ru-RU"/>
        </w:rPr>
      </w:pPr>
      <w:r w:rsidRPr="00CB2973">
        <w:rPr>
          <w:rFonts w:ascii="Times New Roman" w:hAnsi="Times New Roman" w:cs="Times New Roman"/>
          <w:lang w:val="ru-RU"/>
        </w:rPr>
        <w:t>Інвестиційна фірма розробляє, впроваджує та підтримує ефективну політику щодо конфліктів інтересу, що відповідає розміру та організаційній структурі Інвестиційної фірми, а також характеру, масштабу та складності його професійної діяльності на ринку капіталів .</w:t>
      </w:r>
    </w:p>
    <w:p w14:paraId="3EF19931" w14:textId="77777777" w:rsidR="00CB2973" w:rsidRPr="00CB2973" w:rsidRDefault="00CB2973" w:rsidP="00CB2973">
      <w:pPr>
        <w:numPr>
          <w:ilvl w:val="0"/>
          <w:numId w:val="15"/>
        </w:numPr>
        <w:spacing w:line="240" w:lineRule="auto"/>
        <w:rPr>
          <w:rFonts w:ascii="Times New Roman" w:hAnsi="Times New Roman" w:cs="Times New Roman"/>
          <w:lang w:val="ru-RU"/>
        </w:rPr>
      </w:pPr>
      <w:r w:rsidRPr="00CB2973">
        <w:rPr>
          <w:rFonts w:ascii="Times New Roman" w:hAnsi="Times New Roman" w:cs="Times New Roman"/>
          <w:lang w:val="ru-RU"/>
        </w:rPr>
        <w:t>Політика щодо конфліктів інтересу враховує будь-які обставини, про які Інвестиційна фірма знає або має знати, що можуть спричинити конфлікти інтересів, які можуть виникнути внаслідок особливості організаційної структури та/або господарської діяльності інших членів фінансової групи.</w:t>
      </w:r>
    </w:p>
    <w:p w14:paraId="558ECB22" w14:textId="77777777" w:rsidR="00CB2973" w:rsidRPr="00CB2973" w:rsidRDefault="00CB2973" w:rsidP="00CB2973">
      <w:pPr>
        <w:numPr>
          <w:ilvl w:val="0"/>
          <w:numId w:val="16"/>
        </w:numPr>
        <w:spacing w:line="240" w:lineRule="auto"/>
        <w:rPr>
          <w:rFonts w:ascii="Times New Roman" w:hAnsi="Times New Roman" w:cs="Times New Roman"/>
          <w:lang w:val="ru-RU"/>
        </w:rPr>
      </w:pPr>
      <w:r w:rsidRPr="00CB2973">
        <w:rPr>
          <w:rFonts w:ascii="Times New Roman" w:hAnsi="Times New Roman" w:cs="Times New Roman"/>
          <w:lang w:val="ru-RU"/>
        </w:rPr>
        <w:t>Політика щодо конфліктів інтересу містить наступне:</w:t>
      </w:r>
    </w:p>
    <w:p w14:paraId="6213CB7D" w14:textId="77777777" w:rsidR="00CB2973" w:rsidRPr="00C75965" w:rsidRDefault="00CB2973" w:rsidP="00C75965">
      <w:pPr>
        <w:pStyle w:val="ac"/>
        <w:numPr>
          <w:ilvl w:val="0"/>
          <w:numId w:val="32"/>
        </w:numPr>
        <w:rPr>
          <w:rFonts w:ascii="Times New Roman" w:hAnsi="Times New Roman" w:cs="Times New Roman"/>
          <w:lang w:val="ru-RU"/>
        </w:rPr>
      </w:pPr>
      <w:r w:rsidRPr="00C75965">
        <w:rPr>
          <w:rFonts w:ascii="Times New Roman" w:hAnsi="Times New Roman" w:cs="Times New Roman"/>
          <w:lang w:val="ru-RU"/>
        </w:rPr>
        <w:t>визначає, з посиланням на конкретні інвестиційні послуги та діяльність, що здійснюється Інвестиційною фірмою або від її імені, обставини, які створюють або можуть створити конфлікт інтересів, внаслідок якого може бути завдано шкоди інтересам одного або кількох клієнтів;</w:t>
      </w:r>
    </w:p>
    <w:p w14:paraId="2C726915" w14:textId="77777777" w:rsidR="00CB2973" w:rsidRPr="00C75965" w:rsidRDefault="00CB2973" w:rsidP="00C75965">
      <w:pPr>
        <w:pStyle w:val="ac"/>
        <w:numPr>
          <w:ilvl w:val="0"/>
          <w:numId w:val="32"/>
        </w:numPr>
        <w:rPr>
          <w:rFonts w:ascii="Times New Roman" w:hAnsi="Times New Roman" w:cs="Times New Roman"/>
          <w:lang w:val="ru-RU"/>
        </w:rPr>
      </w:pPr>
      <w:r w:rsidRPr="00C75965">
        <w:rPr>
          <w:rFonts w:ascii="Times New Roman" w:hAnsi="Times New Roman" w:cs="Times New Roman"/>
          <w:lang w:val="ru-RU"/>
        </w:rPr>
        <w:t>визначає процедури, яких слід дотримуватися, та заходи, які будуть вжиті для запобігання та врегулювання таких конфліктів.</w:t>
      </w:r>
    </w:p>
    <w:p w14:paraId="3C3608F8" w14:textId="77777777" w:rsidR="00CB2973" w:rsidRPr="00CB2973" w:rsidRDefault="00CB2973" w:rsidP="00CB2973">
      <w:pPr>
        <w:numPr>
          <w:ilvl w:val="0"/>
          <w:numId w:val="18"/>
        </w:numPr>
        <w:spacing w:line="240" w:lineRule="auto"/>
        <w:rPr>
          <w:rFonts w:ascii="Times New Roman" w:hAnsi="Times New Roman" w:cs="Times New Roman"/>
          <w:lang w:val="ru-RU"/>
        </w:rPr>
      </w:pPr>
      <w:r w:rsidRPr="00CB2973">
        <w:rPr>
          <w:rFonts w:ascii="Times New Roman" w:hAnsi="Times New Roman" w:cs="Times New Roman"/>
          <w:lang w:val="ru-RU"/>
        </w:rPr>
        <w:t>Інвестиційна фірма забезпечує, щоб відповідні особи, які виконують різні професійні обов'язки, що пов'язані або можуть бути пов'язані з конфліктами інтересів, внаслідок яких може бути завдано шкоди інтересам одного або кількох клієнтів, були незалежними при дотриманні процедур та вжитті заходів для запобігання та врегулювання таких конфліктів.</w:t>
      </w:r>
    </w:p>
    <w:p w14:paraId="0002F0BB" w14:textId="77777777" w:rsidR="00CB2973" w:rsidRPr="00CB2973" w:rsidRDefault="00CB2973" w:rsidP="00CB2973">
      <w:pPr>
        <w:numPr>
          <w:ilvl w:val="0"/>
          <w:numId w:val="19"/>
        </w:numPr>
        <w:spacing w:line="240" w:lineRule="auto"/>
        <w:rPr>
          <w:rFonts w:ascii="Times New Roman" w:hAnsi="Times New Roman" w:cs="Times New Roman"/>
          <w:lang w:val="ru-RU"/>
        </w:rPr>
      </w:pPr>
      <w:r w:rsidRPr="00CB2973">
        <w:rPr>
          <w:rFonts w:ascii="Times New Roman" w:hAnsi="Times New Roman" w:cs="Times New Roman"/>
          <w:lang w:val="ru-RU"/>
        </w:rPr>
        <w:t>Якщо організаційні або адміністративні механізми, запроваджені Інвестиційною фірмою відповідно для запобігання негативного впливу конфліктів інтересів на інтереси його клієнта, не достатні для того, щоб забезпечити, з достатньою впевненістю, попередження ризиків завдання шкоди інтересам клієнта, то Інвестиційна фірма розкриває клієнтові загальний характер та/або джерела конфліктів інтересів і повідомляти кроки, вжиті для зменшення цих ризиків, перш ніж здійснювати операції за замовленням клієнта. Інформація, що розкривається, подається на надійному носії та містить достатньо інформації, з урахуванням особливостей клієнта, для того, щоб клієнт зміг прийняти свідоме рішення стосовно даної послуги в тому контексті, в якому виникає конфлікт інтересів.</w:t>
      </w:r>
    </w:p>
    <w:p w14:paraId="0BD9F939" w14:textId="77777777" w:rsidR="00CB2973" w:rsidRPr="00CB2973" w:rsidRDefault="00CB2973" w:rsidP="00CB2973">
      <w:pPr>
        <w:numPr>
          <w:ilvl w:val="0"/>
          <w:numId w:val="20"/>
        </w:numPr>
        <w:spacing w:line="240" w:lineRule="auto"/>
        <w:rPr>
          <w:rFonts w:ascii="Times New Roman" w:hAnsi="Times New Roman" w:cs="Times New Roman"/>
          <w:lang w:val="ru-RU"/>
        </w:rPr>
      </w:pPr>
      <w:r w:rsidRPr="00CB2973">
        <w:rPr>
          <w:rFonts w:ascii="Times New Roman" w:hAnsi="Times New Roman" w:cs="Times New Roman"/>
          <w:lang w:val="ru-RU"/>
        </w:rPr>
        <w:t>Інвестиційна фірма повинна забезпечити, щоб розкриття вищезазначеної інформації про конфлікт інтересів клієнтам було крайньою мірою, яка застосовується лише якщо ефективні організаційні та адміністративні механізми, встановлені Інвестиційною фірмою з метою уникнення конфліктів інтересів, недостатні для того, щоб з достатньою впевненістю забезпечити запобігання ризикам завдання шкоди інтересам клієнта.</w:t>
      </w:r>
    </w:p>
    <w:p w14:paraId="443AB788" w14:textId="77777777" w:rsidR="00CB2973" w:rsidRPr="00CB2973" w:rsidRDefault="00CB2973" w:rsidP="00CB2973">
      <w:pPr>
        <w:numPr>
          <w:ilvl w:val="0"/>
          <w:numId w:val="21"/>
        </w:numPr>
        <w:spacing w:line="240" w:lineRule="auto"/>
        <w:rPr>
          <w:rFonts w:ascii="Times New Roman" w:hAnsi="Times New Roman" w:cs="Times New Roman"/>
          <w:lang w:val="ru-RU"/>
        </w:rPr>
      </w:pPr>
      <w:r w:rsidRPr="00CB2973">
        <w:rPr>
          <w:rFonts w:ascii="Times New Roman" w:hAnsi="Times New Roman" w:cs="Times New Roman"/>
          <w:lang w:val="ru-RU"/>
        </w:rPr>
        <w:t>В інформації про конфлікт інтересів, що розкривається відповідно до пункту 10 цього Розділу, повинно бути зазначено, що організаційні та адміністративні механізми, створені Інвестиційною фірмою для запобігання або врегулювання цього конфлікту, недостатні для того, щоб з достатньою впевненістю забезпечити запобігання ризикам завдання шкоди інтересам клієнта.</w:t>
      </w:r>
    </w:p>
    <w:p w14:paraId="1B9FAA15" w14:textId="77777777" w:rsidR="00CB2973" w:rsidRPr="00CB2973" w:rsidRDefault="00CB2973" w:rsidP="00CB2973">
      <w:pPr>
        <w:numPr>
          <w:ilvl w:val="0"/>
          <w:numId w:val="22"/>
        </w:numPr>
        <w:spacing w:line="240" w:lineRule="auto"/>
        <w:rPr>
          <w:rFonts w:ascii="Times New Roman" w:hAnsi="Times New Roman" w:cs="Times New Roman"/>
          <w:lang w:val="ru-RU"/>
        </w:rPr>
      </w:pPr>
      <w:r w:rsidRPr="00CB2973">
        <w:rPr>
          <w:rFonts w:ascii="Times New Roman" w:hAnsi="Times New Roman" w:cs="Times New Roman"/>
          <w:lang w:val="ru-RU"/>
        </w:rPr>
        <w:t>Інформація про конфлікт інтересів, включає в себе конкретний опис конфліктів інтересів, що виникають при наданні інвестиційних послуг, з урахуванням особливостей клієнта, для якого розкривається інформація.</w:t>
      </w:r>
    </w:p>
    <w:p w14:paraId="574CA18C" w14:textId="77777777" w:rsidR="00CB2973" w:rsidRPr="00CB2973" w:rsidRDefault="00CB2973" w:rsidP="00CB2973">
      <w:pPr>
        <w:numPr>
          <w:ilvl w:val="0"/>
          <w:numId w:val="23"/>
        </w:numPr>
        <w:spacing w:line="240" w:lineRule="auto"/>
        <w:rPr>
          <w:rFonts w:ascii="Times New Roman" w:hAnsi="Times New Roman" w:cs="Times New Roman"/>
          <w:lang w:val="ru-RU"/>
        </w:rPr>
      </w:pPr>
      <w:r w:rsidRPr="00CB2973">
        <w:rPr>
          <w:rFonts w:ascii="Times New Roman" w:hAnsi="Times New Roman" w:cs="Times New Roman"/>
          <w:lang w:val="ru-RU"/>
        </w:rPr>
        <w:t>Опис повинен детально пояснити загальний характер і джерела конфлікту інтересів, а також ризики для клієнта, які виникають у результаті конфлікту інтересів та кроки, зроблені для пом'якшення цих ризиків, щоб клієнт зміг прийняти поінформоване рішення стосовно інвестиційної послуги, в рамках якої виникають конфлікти інтересів.</w:t>
      </w:r>
    </w:p>
    <w:p w14:paraId="31DE615C" w14:textId="77777777" w:rsidR="00CB2973" w:rsidRPr="00CB2973" w:rsidRDefault="00CB2973" w:rsidP="00CB2973">
      <w:pPr>
        <w:numPr>
          <w:ilvl w:val="0"/>
          <w:numId w:val="24"/>
        </w:numPr>
        <w:spacing w:line="240" w:lineRule="auto"/>
        <w:rPr>
          <w:rFonts w:ascii="Times New Roman" w:hAnsi="Times New Roman" w:cs="Times New Roman"/>
          <w:lang w:val="ru-RU"/>
        </w:rPr>
      </w:pPr>
      <w:r w:rsidRPr="00CB2973">
        <w:rPr>
          <w:rFonts w:ascii="Times New Roman" w:hAnsi="Times New Roman" w:cs="Times New Roman"/>
          <w:lang w:val="ru-RU"/>
        </w:rPr>
        <w:t>Інвестиційна фірма переглядає не рідше одного разу на рік політику щодо конфлікту інтересів, встановлену відповідно до цього Розділу, та вживає необхідні заходи для усунення її недоліків.</w:t>
      </w:r>
    </w:p>
    <w:p w14:paraId="3B49D6AC" w14:textId="77777777" w:rsidR="00CB2973" w:rsidRPr="00CB2973" w:rsidRDefault="00CB2973" w:rsidP="00CB2973">
      <w:pPr>
        <w:numPr>
          <w:ilvl w:val="0"/>
          <w:numId w:val="25"/>
        </w:numPr>
        <w:spacing w:line="240" w:lineRule="auto"/>
        <w:rPr>
          <w:rFonts w:ascii="Times New Roman" w:hAnsi="Times New Roman" w:cs="Times New Roman"/>
          <w:lang w:val="ru-RU"/>
        </w:rPr>
      </w:pPr>
      <w:r w:rsidRPr="00CB2973">
        <w:rPr>
          <w:rFonts w:ascii="Times New Roman" w:hAnsi="Times New Roman" w:cs="Times New Roman"/>
          <w:lang w:val="ru-RU"/>
        </w:rPr>
        <w:t>Надмірне використання Інвестиційною фірмою процедури розкриття інформації про конфлікт інтересів розглядається як недолік політики конфлікту інтересів.</w:t>
      </w:r>
    </w:p>
    <w:p w14:paraId="1ABD4C91" w14:textId="77777777" w:rsidR="00CB2973" w:rsidRPr="00CB2973" w:rsidRDefault="00CB2973" w:rsidP="00CB2973">
      <w:pPr>
        <w:numPr>
          <w:ilvl w:val="0"/>
          <w:numId w:val="26"/>
        </w:numPr>
        <w:spacing w:line="240" w:lineRule="auto"/>
        <w:rPr>
          <w:rFonts w:ascii="Times New Roman" w:hAnsi="Times New Roman" w:cs="Times New Roman"/>
          <w:lang w:val="ru-RU"/>
        </w:rPr>
      </w:pPr>
      <w:r w:rsidRPr="00CB2973">
        <w:rPr>
          <w:rFonts w:ascii="Times New Roman" w:hAnsi="Times New Roman" w:cs="Times New Roman"/>
          <w:lang w:val="ru-RU"/>
        </w:rPr>
        <w:lastRenderedPageBreak/>
        <w:t>Інвестиційна фірма зберігає та регулярно оновлює інформацію про види інвестиційних послуг або діяльності, що здійснюється Інвестиційною фірмою чи від його імені, в яких мав місце конфлікт інтересів, що завдав шкоди інтересам одного або декількох клієнтів, або у випадку надання послуг чи провадження діяльності, що тривають, в яких може виникнути такий конфлікт інтересів, що зазначений до пункту 10 цього Розділу.</w:t>
      </w:r>
    </w:p>
    <w:p w14:paraId="6B2F2679" w14:textId="77777777" w:rsidR="00CB2973" w:rsidRPr="00CB2973" w:rsidRDefault="00CB2973" w:rsidP="00CB2973">
      <w:pPr>
        <w:numPr>
          <w:ilvl w:val="0"/>
          <w:numId w:val="27"/>
        </w:numPr>
        <w:spacing w:line="240" w:lineRule="auto"/>
        <w:rPr>
          <w:rFonts w:ascii="Times New Roman" w:hAnsi="Times New Roman" w:cs="Times New Roman"/>
          <w:lang w:val="ru-RU"/>
        </w:rPr>
      </w:pPr>
      <w:r w:rsidRPr="00CB2973">
        <w:rPr>
          <w:rFonts w:ascii="Times New Roman" w:hAnsi="Times New Roman" w:cs="Times New Roman"/>
          <w:lang w:val="ru-RU"/>
        </w:rPr>
        <w:t> Керівництво регулярно, не рідше одного разу на рік, отримує письмові звіти про ситуації, зазначені у попередньому абзаці.</w:t>
      </w:r>
    </w:p>
    <w:p w14:paraId="0AE3DAF5" w14:textId="77777777" w:rsidR="00CB2973" w:rsidRPr="00CB2973" w:rsidRDefault="00CB2973" w:rsidP="00CB2973">
      <w:pPr>
        <w:numPr>
          <w:ilvl w:val="0"/>
          <w:numId w:val="28"/>
        </w:numPr>
        <w:spacing w:line="240" w:lineRule="auto"/>
        <w:rPr>
          <w:rFonts w:ascii="Times New Roman" w:hAnsi="Times New Roman" w:cs="Times New Roman"/>
          <w:lang w:val="ru-RU"/>
        </w:rPr>
      </w:pPr>
      <w:r w:rsidRPr="00CB2973">
        <w:rPr>
          <w:rFonts w:ascii="Times New Roman" w:hAnsi="Times New Roman" w:cs="Times New Roman"/>
          <w:lang w:val="ru-RU"/>
        </w:rPr>
        <w:t>Інвестиційна фірма з метою запобігання виникнення конфлікту інтересів з клієнтом або декількома клієнтами, провадить професійну діяльність з урахуванням обов’язків та обмежень, встановлених цим Розділом та чинним законодавством України.</w:t>
      </w:r>
    </w:p>
    <w:p w14:paraId="6253AB2A" w14:textId="77777777" w:rsidR="00CB2973" w:rsidRPr="00CB2973" w:rsidRDefault="00CB2973" w:rsidP="00CB2973">
      <w:pPr>
        <w:numPr>
          <w:ilvl w:val="0"/>
          <w:numId w:val="29"/>
        </w:numPr>
        <w:spacing w:line="240" w:lineRule="auto"/>
        <w:rPr>
          <w:rFonts w:ascii="Times New Roman" w:hAnsi="Times New Roman" w:cs="Times New Roman"/>
          <w:lang w:val="ru-RU"/>
        </w:rPr>
      </w:pPr>
      <w:r w:rsidRPr="00CB2973">
        <w:rPr>
          <w:rFonts w:ascii="Times New Roman" w:hAnsi="Times New Roman" w:cs="Times New Roman"/>
          <w:lang w:val="ru-RU"/>
        </w:rPr>
        <w:t>У разі наявності у Інвестиційної фірми конфлікту інтересів з його клієнтом у зв’язку із зацікавленістю щодо купівлі-продажу фінансових інструментів пов’язаними особами Інвестиційної фірми та/або його посадовими особами та/або його фахівцями, така Інвестиційна фірма зобов’язана повідомити про це клієнта до того, як будуть надані послуги клієнту та отримати письмову згоду клієнта на проведення такої операції. </w:t>
      </w:r>
    </w:p>
    <w:p w14:paraId="3EDA5302" w14:textId="77777777" w:rsidR="00CB2973" w:rsidRPr="00CB2973" w:rsidRDefault="00CB2973" w:rsidP="00CB2973">
      <w:pPr>
        <w:spacing w:line="240" w:lineRule="auto"/>
        <w:rPr>
          <w:rFonts w:ascii="Times New Roman" w:hAnsi="Times New Roman" w:cs="Times New Roman"/>
          <w:lang w:val="ru-RU"/>
        </w:rPr>
      </w:pPr>
    </w:p>
    <w:p w14:paraId="58AF4B04" w14:textId="77777777" w:rsidR="00CB2973" w:rsidRPr="00CB2973" w:rsidRDefault="00CB2973" w:rsidP="00CB2973">
      <w:pPr>
        <w:spacing w:line="240" w:lineRule="auto"/>
        <w:rPr>
          <w:rFonts w:ascii="Times New Roman" w:hAnsi="Times New Roman" w:cs="Times New Roman"/>
          <w:lang w:val="ru-RU"/>
        </w:rPr>
      </w:pPr>
    </w:p>
    <w:p w14:paraId="3162BCBB" w14:textId="77777777" w:rsidR="000C07A8" w:rsidRPr="00CB2973" w:rsidRDefault="000C07A8" w:rsidP="00CB2973">
      <w:pPr>
        <w:spacing w:line="240" w:lineRule="auto"/>
        <w:rPr>
          <w:rFonts w:ascii="Times New Roman" w:hAnsi="Times New Roman" w:cs="Times New Roman"/>
          <w:lang w:val="ru-RU"/>
        </w:rPr>
      </w:pPr>
    </w:p>
    <w:sectPr w:rsidR="000C07A8" w:rsidRPr="00CB2973" w:rsidSect="00394616">
      <w:footerReference w:type="default" r:id="rId7"/>
      <w:pgSz w:w="12240" w:h="15840"/>
      <w:pgMar w:top="709" w:right="758" w:bottom="56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4E374" w14:textId="77777777" w:rsidR="00722FFD" w:rsidRDefault="00722FFD" w:rsidP="00394616">
      <w:pPr>
        <w:spacing w:after="0" w:line="240" w:lineRule="auto"/>
      </w:pPr>
      <w:r>
        <w:separator/>
      </w:r>
    </w:p>
  </w:endnote>
  <w:endnote w:type="continuationSeparator" w:id="0">
    <w:p w14:paraId="44B24D90" w14:textId="77777777" w:rsidR="00722FFD" w:rsidRDefault="00722FFD" w:rsidP="0039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190893"/>
      <w:docPartObj>
        <w:docPartGallery w:val="Page Numbers (Bottom of Page)"/>
        <w:docPartUnique/>
      </w:docPartObj>
    </w:sdtPr>
    <w:sdtContent>
      <w:p w14:paraId="64977191" w14:textId="355E2430" w:rsidR="00394616" w:rsidRDefault="00394616">
        <w:pPr>
          <w:pStyle w:val="af"/>
          <w:jc w:val="right"/>
        </w:pPr>
        <w:r>
          <w:fldChar w:fldCharType="begin"/>
        </w:r>
        <w:r>
          <w:instrText>PAGE   \* MERGEFORMAT</w:instrText>
        </w:r>
        <w:r>
          <w:fldChar w:fldCharType="separate"/>
        </w:r>
        <w:r>
          <w:rPr>
            <w:lang w:val="ru-RU"/>
          </w:rPr>
          <w:t>2</w:t>
        </w:r>
        <w:r>
          <w:fldChar w:fldCharType="end"/>
        </w:r>
      </w:p>
    </w:sdtContent>
  </w:sdt>
  <w:p w14:paraId="11EFD34F" w14:textId="77777777" w:rsidR="00394616" w:rsidRDefault="0039461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27E69" w14:textId="77777777" w:rsidR="00722FFD" w:rsidRDefault="00722FFD" w:rsidP="00394616">
      <w:pPr>
        <w:spacing w:after="0" w:line="240" w:lineRule="auto"/>
      </w:pPr>
      <w:r>
        <w:separator/>
      </w:r>
    </w:p>
  </w:footnote>
  <w:footnote w:type="continuationSeparator" w:id="0">
    <w:p w14:paraId="53F11105" w14:textId="77777777" w:rsidR="00722FFD" w:rsidRDefault="00722FFD" w:rsidP="0039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5C7"/>
    <w:multiLevelType w:val="multilevel"/>
    <w:tmpl w:val="9636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456B6"/>
    <w:multiLevelType w:val="hybridMultilevel"/>
    <w:tmpl w:val="A8B6F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AD7394"/>
    <w:multiLevelType w:val="multilevel"/>
    <w:tmpl w:val="B1A20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44F1F"/>
    <w:multiLevelType w:val="multilevel"/>
    <w:tmpl w:val="177069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81618"/>
    <w:multiLevelType w:val="hybridMultilevel"/>
    <w:tmpl w:val="8C982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AE3548"/>
    <w:multiLevelType w:val="multilevel"/>
    <w:tmpl w:val="A40C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D7769"/>
    <w:multiLevelType w:val="multilevel"/>
    <w:tmpl w:val="A1828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60655A"/>
    <w:multiLevelType w:val="hybridMultilevel"/>
    <w:tmpl w:val="10C6F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E249B7"/>
    <w:multiLevelType w:val="multilevel"/>
    <w:tmpl w:val="52C824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873590"/>
    <w:multiLevelType w:val="multilevel"/>
    <w:tmpl w:val="0E0C4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F438F"/>
    <w:multiLevelType w:val="multilevel"/>
    <w:tmpl w:val="EC5AFF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9019CE"/>
    <w:multiLevelType w:val="multilevel"/>
    <w:tmpl w:val="7286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960B74"/>
    <w:multiLevelType w:val="multilevel"/>
    <w:tmpl w:val="2E44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808D8"/>
    <w:multiLevelType w:val="multilevel"/>
    <w:tmpl w:val="1188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B64B4A"/>
    <w:multiLevelType w:val="multilevel"/>
    <w:tmpl w:val="2D6E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3E179A"/>
    <w:multiLevelType w:val="multilevel"/>
    <w:tmpl w:val="5A32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789737">
    <w:abstractNumId w:val="9"/>
  </w:num>
  <w:num w:numId="2" w16cid:durableId="1900433396">
    <w:abstractNumId w:val="14"/>
  </w:num>
  <w:num w:numId="3" w16cid:durableId="491139898">
    <w:abstractNumId w:val="6"/>
    <w:lvlOverride w:ilvl="0">
      <w:lvl w:ilvl="0">
        <w:numFmt w:val="decimal"/>
        <w:lvlText w:val="%1."/>
        <w:lvlJc w:val="left"/>
      </w:lvl>
    </w:lvlOverride>
  </w:num>
  <w:num w:numId="4" w16cid:durableId="2006396073">
    <w:abstractNumId w:val="13"/>
  </w:num>
  <w:num w:numId="5" w16cid:durableId="1513762085">
    <w:abstractNumId w:val="10"/>
    <w:lvlOverride w:ilvl="0">
      <w:lvl w:ilvl="0">
        <w:numFmt w:val="decimal"/>
        <w:lvlText w:val="%1."/>
        <w:lvlJc w:val="left"/>
      </w:lvl>
    </w:lvlOverride>
  </w:num>
  <w:num w:numId="6" w16cid:durableId="634336338">
    <w:abstractNumId w:val="10"/>
    <w:lvlOverride w:ilvl="0">
      <w:lvl w:ilvl="0">
        <w:numFmt w:val="decimal"/>
        <w:lvlText w:val="%1."/>
        <w:lvlJc w:val="left"/>
      </w:lvl>
    </w:lvlOverride>
  </w:num>
  <w:num w:numId="7" w16cid:durableId="310017252">
    <w:abstractNumId w:val="10"/>
    <w:lvlOverride w:ilvl="0">
      <w:lvl w:ilvl="0">
        <w:numFmt w:val="decimal"/>
        <w:lvlText w:val="%1."/>
        <w:lvlJc w:val="left"/>
      </w:lvl>
    </w:lvlOverride>
  </w:num>
  <w:num w:numId="8" w16cid:durableId="1077940354">
    <w:abstractNumId w:val="15"/>
  </w:num>
  <w:num w:numId="9" w16cid:durableId="1671331150">
    <w:abstractNumId w:val="11"/>
  </w:num>
  <w:num w:numId="10" w16cid:durableId="1431393998">
    <w:abstractNumId w:val="12"/>
  </w:num>
  <w:num w:numId="11" w16cid:durableId="1721593119">
    <w:abstractNumId w:val="2"/>
    <w:lvlOverride w:ilvl="0">
      <w:lvl w:ilvl="0">
        <w:numFmt w:val="decimal"/>
        <w:lvlText w:val="%1."/>
        <w:lvlJc w:val="left"/>
      </w:lvl>
    </w:lvlOverride>
  </w:num>
  <w:num w:numId="12" w16cid:durableId="1200245685">
    <w:abstractNumId w:val="0"/>
  </w:num>
  <w:num w:numId="13" w16cid:durableId="1393306530">
    <w:abstractNumId w:val="8"/>
    <w:lvlOverride w:ilvl="0">
      <w:lvl w:ilvl="0">
        <w:numFmt w:val="decimal"/>
        <w:lvlText w:val="%1."/>
        <w:lvlJc w:val="left"/>
      </w:lvl>
    </w:lvlOverride>
  </w:num>
  <w:num w:numId="14" w16cid:durableId="1303929945">
    <w:abstractNumId w:val="8"/>
    <w:lvlOverride w:ilvl="0">
      <w:lvl w:ilvl="0">
        <w:numFmt w:val="decimal"/>
        <w:lvlText w:val="%1."/>
        <w:lvlJc w:val="left"/>
      </w:lvl>
    </w:lvlOverride>
  </w:num>
  <w:num w:numId="15" w16cid:durableId="1035689711">
    <w:abstractNumId w:val="8"/>
    <w:lvlOverride w:ilvl="0">
      <w:lvl w:ilvl="0">
        <w:numFmt w:val="decimal"/>
        <w:lvlText w:val="%1."/>
        <w:lvlJc w:val="left"/>
      </w:lvl>
    </w:lvlOverride>
  </w:num>
  <w:num w:numId="16" w16cid:durableId="493420849">
    <w:abstractNumId w:val="8"/>
    <w:lvlOverride w:ilvl="0">
      <w:lvl w:ilvl="0">
        <w:numFmt w:val="decimal"/>
        <w:lvlText w:val="%1."/>
        <w:lvlJc w:val="left"/>
      </w:lvl>
    </w:lvlOverride>
  </w:num>
  <w:num w:numId="17" w16cid:durableId="382949261">
    <w:abstractNumId w:val="5"/>
  </w:num>
  <w:num w:numId="18" w16cid:durableId="1891725773">
    <w:abstractNumId w:val="3"/>
    <w:lvlOverride w:ilvl="0">
      <w:lvl w:ilvl="0">
        <w:numFmt w:val="decimal"/>
        <w:lvlText w:val="%1."/>
        <w:lvlJc w:val="left"/>
      </w:lvl>
    </w:lvlOverride>
  </w:num>
  <w:num w:numId="19" w16cid:durableId="1911621667">
    <w:abstractNumId w:val="3"/>
    <w:lvlOverride w:ilvl="0">
      <w:lvl w:ilvl="0">
        <w:numFmt w:val="decimal"/>
        <w:lvlText w:val="%1."/>
        <w:lvlJc w:val="left"/>
      </w:lvl>
    </w:lvlOverride>
  </w:num>
  <w:num w:numId="20" w16cid:durableId="1099372615">
    <w:abstractNumId w:val="3"/>
    <w:lvlOverride w:ilvl="0">
      <w:lvl w:ilvl="0">
        <w:numFmt w:val="decimal"/>
        <w:lvlText w:val="%1."/>
        <w:lvlJc w:val="left"/>
      </w:lvl>
    </w:lvlOverride>
  </w:num>
  <w:num w:numId="21" w16cid:durableId="899556731">
    <w:abstractNumId w:val="3"/>
    <w:lvlOverride w:ilvl="0">
      <w:lvl w:ilvl="0">
        <w:numFmt w:val="decimal"/>
        <w:lvlText w:val="%1."/>
        <w:lvlJc w:val="left"/>
      </w:lvl>
    </w:lvlOverride>
  </w:num>
  <w:num w:numId="22" w16cid:durableId="680622412">
    <w:abstractNumId w:val="3"/>
    <w:lvlOverride w:ilvl="0">
      <w:lvl w:ilvl="0">
        <w:numFmt w:val="decimal"/>
        <w:lvlText w:val="%1."/>
        <w:lvlJc w:val="left"/>
      </w:lvl>
    </w:lvlOverride>
  </w:num>
  <w:num w:numId="23" w16cid:durableId="631062816">
    <w:abstractNumId w:val="3"/>
    <w:lvlOverride w:ilvl="0">
      <w:lvl w:ilvl="0">
        <w:numFmt w:val="decimal"/>
        <w:lvlText w:val="%1."/>
        <w:lvlJc w:val="left"/>
      </w:lvl>
    </w:lvlOverride>
  </w:num>
  <w:num w:numId="24" w16cid:durableId="1349721617">
    <w:abstractNumId w:val="3"/>
    <w:lvlOverride w:ilvl="0">
      <w:lvl w:ilvl="0">
        <w:numFmt w:val="decimal"/>
        <w:lvlText w:val="%1."/>
        <w:lvlJc w:val="left"/>
      </w:lvl>
    </w:lvlOverride>
  </w:num>
  <w:num w:numId="25" w16cid:durableId="118649365">
    <w:abstractNumId w:val="3"/>
    <w:lvlOverride w:ilvl="0">
      <w:lvl w:ilvl="0">
        <w:numFmt w:val="decimal"/>
        <w:lvlText w:val="%1."/>
        <w:lvlJc w:val="left"/>
      </w:lvl>
    </w:lvlOverride>
  </w:num>
  <w:num w:numId="26" w16cid:durableId="337119839">
    <w:abstractNumId w:val="3"/>
    <w:lvlOverride w:ilvl="0">
      <w:lvl w:ilvl="0">
        <w:numFmt w:val="decimal"/>
        <w:lvlText w:val="%1."/>
        <w:lvlJc w:val="left"/>
      </w:lvl>
    </w:lvlOverride>
  </w:num>
  <w:num w:numId="27" w16cid:durableId="1911189491">
    <w:abstractNumId w:val="3"/>
    <w:lvlOverride w:ilvl="0">
      <w:lvl w:ilvl="0">
        <w:numFmt w:val="decimal"/>
        <w:lvlText w:val="%1."/>
        <w:lvlJc w:val="left"/>
      </w:lvl>
    </w:lvlOverride>
  </w:num>
  <w:num w:numId="28" w16cid:durableId="696810839">
    <w:abstractNumId w:val="3"/>
    <w:lvlOverride w:ilvl="0">
      <w:lvl w:ilvl="0">
        <w:numFmt w:val="decimal"/>
        <w:lvlText w:val="%1."/>
        <w:lvlJc w:val="left"/>
      </w:lvl>
    </w:lvlOverride>
  </w:num>
  <w:num w:numId="29" w16cid:durableId="1106269167">
    <w:abstractNumId w:val="3"/>
    <w:lvlOverride w:ilvl="0">
      <w:lvl w:ilvl="0">
        <w:numFmt w:val="decimal"/>
        <w:lvlText w:val="%1."/>
        <w:lvlJc w:val="left"/>
      </w:lvl>
    </w:lvlOverride>
  </w:num>
  <w:num w:numId="30" w16cid:durableId="1224560951">
    <w:abstractNumId w:val="1"/>
  </w:num>
  <w:num w:numId="31" w16cid:durableId="679896390">
    <w:abstractNumId w:val="7"/>
  </w:num>
  <w:num w:numId="32" w16cid:durableId="1723554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1"/>
    <w:rsid w:val="0008204B"/>
    <w:rsid w:val="000C07A8"/>
    <w:rsid w:val="00394616"/>
    <w:rsid w:val="005D41C8"/>
    <w:rsid w:val="005D5BA4"/>
    <w:rsid w:val="00722FFD"/>
    <w:rsid w:val="007A5C7C"/>
    <w:rsid w:val="0098676F"/>
    <w:rsid w:val="009A1F97"/>
    <w:rsid w:val="00AF6079"/>
    <w:rsid w:val="00B83742"/>
    <w:rsid w:val="00C75965"/>
    <w:rsid w:val="00CB2973"/>
    <w:rsid w:val="00CC72AC"/>
    <w:rsid w:val="00D765FF"/>
    <w:rsid w:val="00EC3668"/>
    <w:rsid w:val="00EE7771"/>
    <w:rsid w:val="00F84879"/>
    <w:rsid w:val="00FB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836AF"/>
  <w15:chartTrackingRefBased/>
  <w15:docId w15:val="{5EA2124A-786B-4625-B9F8-91F4E6A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7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7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77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77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77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77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77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77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77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7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77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77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77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77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7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7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EE7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7771"/>
    <w:rPr>
      <w:rFonts w:eastAsiaTheme="majorEastAsia" w:cstheme="majorBidi"/>
      <w:color w:val="272727" w:themeColor="text1" w:themeTint="D8"/>
    </w:rPr>
  </w:style>
  <w:style w:type="paragraph" w:styleId="a3">
    <w:name w:val="Title"/>
    <w:basedOn w:val="a"/>
    <w:next w:val="a"/>
    <w:link w:val="a4"/>
    <w:uiPriority w:val="10"/>
    <w:qFormat/>
    <w:rsid w:val="00EE7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77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7771"/>
    <w:pPr>
      <w:spacing w:before="160"/>
      <w:jc w:val="center"/>
    </w:pPr>
    <w:rPr>
      <w:i/>
      <w:iCs/>
      <w:color w:val="404040" w:themeColor="text1" w:themeTint="BF"/>
    </w:rPr>
  </w:style>
  <w:style w:type="character" w:customStyle="1" w:styleId="22">
    <w:name w:val="Цитата 2 Знак"/>
    <w:basedOn w:val="a0"/>
    <w:link w:val="21"/>
    <w:uiPriority w:val="29"/>
    <w:rsid w:val="00EE7771"/>
    <w:rPr>
      <w:i/>
      <w:iCs/>
      <w:color w:val="404040" w:themeColor="text1" w:themeTint="BF"/>
    </w:rPr>
  </w:style>
  <w:style w:type="paragraph" w:styleId="a7">
    <w:name w:val="List Paragraph"/>
    <w:basedOn w:val="a"/>
    <w:uiPriority w:val="34"/>
    <w:qFormat/>
    <w:rsid w:val="00EE7771"/>
    <w:pPr>
      <w:ind w:left="720"/>
      <w:contextualSpacing/>
    </w:pPr>
  </w:style>
  <w:style w:type="character" w:styleId="a8">
    <w:name w:val="Intense Emphasis"/>
    <w:basedOn w:val="a0"/>
    <w:uiPriority w:val="21"/>
    <w:qFormat/>
    <w:rsid w:val="00EE7771"/>
    <w:rPr>
      <w:i/>
      <w:iCs/>
      <w:color w:val="2F5496" w:themeColor="accent1" w:themeShade="BF"/>
    </w:rPr>
  </w:style>
  <w:style w:type="paragraph" w:styleId="a9">
    <w:name w:val="Intense Quote"/>
    <w:basedOn w:val="a"/>
    <w:next w:val="a"/>
    <w:link w:val="aa"/>
    <w:uiPriority w:val="30"/>
    <w:qFormat/>
    <w:rsid w:val="00EE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7771"/>
    <w:rPr>
      <w:i/>
      <w:iCs/>
      <w:color w:val="2F5496" w:themeColor="accent1" w:themeShade="BF"/>
    </w:rPr>
  </w:style>
  <w:style w:type="character" w:styleId="ab">
    <w:name w:val="Intense Reference"/>
    <w:basedOn w:val="a0"/>
    <w:uiPriority w:val="32"/>
    <w:qFormat/>
    <w:rsid w:val="00EE7771"/>
    <w:rPr>
      <w:b/>
      <w:bCs/>
      <w:smallCaps/>
      <w:color w:val="2F5496" w:themeColor="accent1" w:themeShade="BF"/>
      <w:spacing w:val="5"/>
    </w:rPr>
  </w:style>
  <w:style w:type="paragraph" w:styleId="ac">
    <w:name w:val="No Spacing"/>
    <w:uiPriority w:val="1"/>
    <w:qFormat/>
    <w:rsid w:val="00C75965"/>
    <w:pPr>
      <w:spacing w:after="0" w:line="240" w:lineRule="auto"/>
    </w:pPr>
  </w:style>
  <w:style w:type="paragraph" w:styleId="ad">
    <w:name w:val="header"/>
    <w:basedOn w:val="a"/>
    <w:link w:val="ae"/>
    <w:uiPriority w:val="99"/>
    <w:unhideWhenUsed/>
    <w:rsid w:val="0039461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94616"/>
  </w:style>
  <w:style w:type="paragraph" w:styleId="af">
    <w:name w:val="footer"/>
    <w:basedOn w:val="a"/>
    <w:link w:val="af0"/>
    <w:uiPriority w:val="99"/>
    <w:unhideWhenUsed/>
    <w:rsid w:val="0039461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94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4124">
      <w:bodyDiv w:val="1"/>
      <w:marLeft w:val="0"/>
      <w:marRight w:val="0"/>
      <w:marTop w:val="0"/>
      <w:marBottom w:val="0"/>
      <w:divBdr>
        <w:top w:val="none" w:sz="0" w:space="0" w:color="auto"/>
        <w:left w:val="none" w:sz="0" w:space="0" w:color="auto"/>
        <w:bottom w:val="none" w:sz="0" w:space="0" w:color="auto"/>
        <w:right w:val="none" w:sz="0" w:space="0" w:color="auto"/>
      </w:divBdr>
    </w:div>
    <w:div w:id="204300109">
      <w:bodyDiv w:val="1"/>
      <w:marLeft w:val="0"/>
      <w:marRight w:val="0"/>
      <w:marTop w:val="0"/>
      <w:marBottom w:val="0"/>
      <w:divBdr>
        <w:top w:val="none" w:sz="0" w:space="0" w:color="auto"/>
        <w:left w:val="none" w:sz="0" w:space="0" w:color="auto"/>
        <w:bottom w:val="none" w:sz="0" w:space="0" w:color="auto"/>
        <w:right w:val="none" w:sz="0" w:space="0" w:color="auto"/>
      </w:divBdr>
    </w:div>
    <w:div w:id="1152254159">
      <w:bodyDiv w:val="1"/>
      <w:marLeft w:val="0"/>
      <w:marRight w:val="0"/>
      <w:marTop w:val="0"/>
      <w:marBottom w:val="0"/>
      <w:divBdr>
        <w:top w:val="none" w:sz="0" w:space="0" w:color="auto"/>
        <w:left w:val="none" w:sz="0" w:space="0" w:color="auto"/>
        <w:bottom w:val="none" w:sz="0" w:space="0" w:color="auto"/>
        <w:right w:val="none" w:sz="0" w:space="0" w:color="auto"/>
      </w:divBdr>
    </w:div>
    <w:div w:id="12547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2025-03-10T11:47:00Z</dcterms:created>
  <dcterms:modified xsi:type="dcterms:W3CDTF">2025-03-26T17:23:00Z</dcterms:modified>
</cp:coreProperties>
</file>