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65A2D" w14:textId="77777777" w:rsidR="0060439D" w:rsidRPr="007C00BE" w:rsidRDefault="0060439D" w:rsidP="0060439D">
      <w:pPr>
        <w:pStyle w:val="a7"/>
        <w:ind w:left="5103"/>
        <w:rPr>
          <w:rFonts w:ascii="Times New Roman" w:hAnsi="Times New Roman" w:cs="Times New Roman"/>
          <w:b/>
          <w:bCs/>
          <w:lang w:val="ru-RU"/>
        </w:rPr>
      </w:pPr>
      <w:r w:rsidRPr="007C00BE">
        <w:rPr>
          <w:rFonts w:ascii="Times New Roman" w:hAnsi="Times New Roman" w:cs="Times New Roman"/>
          <w:b/>
          <w:bCs/>
          <w:lang w:val="ru-RU"/>
        </w:rPr>
        <w:t>«ЗАТВЕРДЖЕНО»</w:t>
      </w:r>
    </w:p>
    <w:p w14:paraId="19AE3369" w14:textId="77777777" w:rsidR="0060439D" w:rsidRPr="007C00BE" w:rsidRDefault="0060439D" w:rsidP="0060439D">
      <w:pPr>
        <w:pStyle w:val="a7"/>
        <w:ind w:left="5103"/>
        <w:rPr>
          <w:rFonts w:ascii="Times New Roman" w:hAnsi="Times New Roman" w:cs="Times New Roman"/>
          <w:b/>
          <w:bCs/>
          <w:lang w:val="ru-RU"/>
        </w:rPr>
      </w:pPr>
      <w:r w:rsidRPr="007C00BE">
        <w:rPr>
          <w:rFonts w:ascii="Times New Roman" w:hAnsi="Times New Roman" w:cs="Times New Roman"/>
          <w:b/>
          <w:bCs/>
          <w:lang w:val="ru-RU"/>
        </w:rPr>
        <w:t>Директор</w:t>
      </w:r>
    </w:p>
    <w:p w14:paraId="4AF70C6D" w14:textId="77777777" w:rsidR="0060439D" w:rsidRPr="007C00BE" w:rsidRDefault="0060439D" w:rsidP="0060439D">
      <w:pPr>
        <w:pStyle w:val="a7"/>
        <w:ind w:left="5103"/>
        <w:rPr>
          <w:rFonts w:ascii="Times New Roman" w:hAnsi="Times New Roman" w:cs="Times New Roman"/>
          <w:b/>
          <w:bCs/>
          <w:lang w:val="ru-RU"/>
        </w:rPr>
      </w:pPr>
      <w:r w:rsidRPr="007C00BE">
        <w:rPr>
          <w:rFonts w:ascii="Times New Roman" w:hAnsi="Times New Roman" w:cs="Times New Roman"/>
          <w:b/>
          <w:bCs/>
          <w:lang w:val="ru-RU"/>
        </w:rPr>
        <w:t xml:space="preserve">ТОВ «ПРДТ ФОНДОВИЙ ЦЕНТР»   </w:t>
      </w:r>
    </w:p>
    <w:p w14:paraId="02A47DCE" w14:textId="77777777" w:rsidR="0060439D" w:rsidRPr="007C00BE" w:rsidRDefault="0060439D" w:rsidP="0060439D">
      <w:pPr>
        <w:pStyle w:val="a7"/>
        <w:ind w:left="5103"/>
        <w:rPr>
          <w:rFonts w:ascii="Times New Roman" w:hAnsi="Times New Roman" w:cs="Times New Roman"/>
          <w:b/>
          <w:bCs/>
          <w:lang w:val="ru-RU"/>
        </w:rPr>
      </w:pPr>
      <w:r w:rsidRPr="007C00BE">
        <w:rPr>
          <w:rFonts w:ascii="Times New Roman" w:hAnsi="Times New Roman" w:cs="Times New Roman"/>
          <w:b/>
          <w:bCs/>
          <w:lang w:val="ru-RU"/>
        </w:rPr>
        <w:t>Голопотелюк О. В.</w:t>
      </w:r>
    </w:p>
    <w:p w14:paraId="7B7AF0E5" w14:textId="77777777" w:rsidR="0060439D" w:rsidRPr="007C00BE" w:rsidRDefault="0060439D" w:rsidP="0060439D">
      <w:pPr>
        <w:pStyle w:val="a7"/>
        <w:ind w:left="5103"/>
        <w:rPr>
          <w:rFonts w:ascii="Times New Roman" w:hAnsi="Times New Roman" w:cs="Times New Roman"/>
          <w:b/>
          <w:bCs/>
          <w:lang w:val="ru-RU"/>
        </w:rPr>
      </w:pPr>
    </w:p>
    <w:p w14:paraId="36786FB7" w14:textId="77777777" w:rsidR="0060439D" w:rsidRPr="00CD29E3" w:rsidRDefault="0060439D" w:rsidP="0060439D">
      <w:pPr>
        <w:pStyle w:val="a7"/>
        <w:ind w:left="5103"/>
        <w:rPr>
          <w:rFonts w:ascii="Times New Roman" w:hAnsi="Times New Roman" w:cs="Times New Roman"/>
          <w:b/>
          <w:bCs/>
          <w:lang w:val="ru-RU"/>
        </w:rPr>
      </w:pPr>
      <w:r w:rsidRPr="00CD29E3">
        <w:rPr>
          <w:rFonts w:ascii="Times New Roman" w:hAnsi="Times New Roman" w:cs="Times New Roman"/>
          <w:b/>
          <w:bCs/>
          <w:lang w:val="ru-RU"/>
        </w:rPr>
        <w:t>_______________</w:t>
      </w:r>
    </w:p>
    <w:p w14:paraId="2525BFD0" w14:textId="77777777" w:rsidR="005B6EA4" w:rsidRPr="00CD29E3" w:rsidRDefault="005B6EA4" w:rsidP="005B6EA4">
      <w:pPr>
        <w:pStyle w:val="a7"/>
        <w:ind w:left="5103"/>
        <w:rPr>
          <w:rFonts w:ascii="Times New Roman" w:hAnsi="Times New Roman" w:cs="Times New Roman"/>
          <w:b/>
          <w:bCs/>
          <w:lang w:val="ru-RU"/>
        </w:rPr>
      </w:pPr>
      <w:r w:rsidRPr="00CD29E3">
        <w:rPr>
          <w:rFonts w:ascii="Times New Roman" w:hAnsi="Times New Roman" w:cs="Times New Roman"/>
          <w:b/>
          <w:bCs/>
          <w:lang w:val="ru-RU"/>
        </w:rPr>
        <w:t xml:space="preserve">Наказ № </w:t>
      </w:r>
      <w:r>
        <w:rPr>
          <w:rFonts w:ascii="Times New Roman" w:hAnsi="Times New Roman" w:cs="Times New Roman"/>
          <w:b/>
          <w:bCs/>
          <w:lang w:val="ru-RU"/>
        </w:rPr>
        <w:t>2</w:t>
      </w:r>
      <w:r w:rsidRPr="00CD29E3">
        <w:rPr>
          <w:rFonts w:ascii="Times New Roman" w:hAnsi="Times New Roman" w:cs="Times New Roman"/>
          <w:b/>
          <w:bCs/>
          <w:lang w:val="ru-RU"/>
        </w:rPr>
        <w:t xml:space="preserve"> від « </w:t>
      </w:r>
      <w:r>
        <w:rPr>
          <w:rFonts w:ascii="Times New Roman" w:hAnsi="Times New Roman" w:cs="Times New Roman"/>
          <w:b/>
          <w:bCs/>
          <w:lang w:val="ru-RU"/>
        </w:rPr>
        <w:t>10</w:t>
      </w:r>
      <w:r w:rsidRPr="00CD29E3">
        <w:rPr>
          <w:rFonts w:ascii="Times New Roman" w:hAnsi="Times New Roman" w:cs="Times New Roman"/>
          <w:b/>
          <w:bCs/>
          <w:lang w:val="ru-RU"/>
        </w:rPr>
        <w:t xml:space="preserve"> » </w:t>
      </w:r>
      <w:r>
        <w:rPr>
          <w:rFonts w:ascii="Times New Roman" w:hAnsi="Times New Roman" w:cs="Times New Roman"/>
          <w:b/>
          <w:bCs/>
          <w:lang w:val="ru-RU"/>
        </w:rPr>
        <w:t>лю</w:t>
      </w:r>
      <w:r>
        <w:rPr>
          <w:rFonts w:ascii="Times New Roman" w:hAnsi="Times New Roman" w:cs="Times New Roman"/>
          <w:b/>
          <w:bCs/>
          <w:lang w:val="uk-UA"/>
        </w:rPr>
        <w:t>того</w:t>
      </w:r>
      <w:r w:rsidRPr="00CD29E3">
        <w:rPr>
          <w:rFonts w:ascii="Times New Roman" w:hAnsi="Times New Roman" w:cs="Times New Roman"/>
          <w:b/>
          <w:bCs/>
          <w:lang w:val="ru-RU"/>
        </w:rPr>
        <w:t xml:space="preserve"> 202</w:t>
      </w:r>
      <w:r>
        <w:rPr>
          <w:rFonts w:ascii="Times New Roman" w:hAnsi="Times New Roman" w:cs="Times New Roman"/>
          <w:b/>
          <w:bCs/>
          <w:lang w:val="ru-RU"/>
        </w:rPr>
        <w:t>5</w:t>
      </w:r>
      <w:r w:rsidRPr="00CD29E3">
        <w:rPr>
          <w:rFonts w:ascii="Times New Roman" w:hAnsi="Times New Roman" w:cs="Times New Roman"/>
          <w:b/>
          <w:bCs/>
          <w:lang w:val="ru-RU"/>
        </w:rPr>
        <w:t xml:space="preserve"> р.                                                                                                 Вводиться в дію з </w:t>
      </w:r>
      <w:r>
        <w:rPr>
          <w:rFonts w:ascii="Times New Roman" w:hAnsi="Times New Roman" w:cs="Times New Roman"/>
          <w:b/>
          <w:bCs/>
          <w:lang w:val="ru-RU"/>
        </w:rPr>
        <w:t>« 10</w:t>
      </w:r>
      <w:r w:rsidRPr="00CD29E3">
        <w:rPr>
          <w:rFonts w:ascii="Times New Roman" w:hAnsi="Times New Roman" w:cs="Times New Roman"/>
          <w:b/>
          <w:bCs/>
          <w:lang w:val="ru-RU"/>
        </w:rPr>
        <w:t xml:space="preserve"> » </w:t>
      </w:r>
      <w:r>
        <w:rPr>
          <w:rFonts w:ascii="Times New Roman" w:hAnsi="Times New Roman" w:cs="Times New Roman"/>
          <w:b/>
          <w:bCs/>
          <w:lang w:val="ru-RU"/>
        </w:rPr>
        <w:t>лю</w:t>
      </w:r>
      <w:r>
        <w:rPr>
          <w:rFonts w:ascii="Times New Roman" w:hAnsi="Times New Roman" w:cs="Times New Roman"/>
          <w:b/>
          <w:bCs/>
          <w:lang w:val="uk-UA"/>
        </w:rPr>
        <w:t>того</w:t>
      </w:r>
      <w:r w:rsidRPr="00CD29E3">
        <w:rPr>
          <w:rFonts w:ascii="Times New Roman" w:hAnsi="Times New Roman" w:cs="Times New Roman"/>
          <w:b/>
          <w:bCs/>
          <w:lang w:val="ru-RU"/>
        </w:rPr>
        <w:t xml:space="preserve"> 202</w:t>
      </w:r>
      <w:r>
        <w:rPr>
          <w:rFonts w:ascii="Times New Roman" w:hAnsi="Times New Roman" w:cs="Times New Roman"/>
          <w:b/>
          <w:bCs/>
          <w:lang w:val="ru-RU"/>
        </w:rPr>
        <w:t>5</w:t>
      </w:r>
      <w:r w:rsidRPr="00CD29E3">
        <w:rPr>
          <w:rFonts w:ascii="Times New Roman" w:hAnsi="Times New Roman" w:cs="Times New Roman"/>
          <w:b/>
          <w:bCs/>
          <w:lang w:val="ru-RU"/>
        </w:rPr>
        <w:t xml:space="preserve"> р.</w:t>
      </w:r>
    </w:p>
    <w:p w14:paraId="155911C9" w14:textId="77777777" w:rsidR="0060439D" w:rsidRDefault="0060439D" w:rsidP="0060439D">
      <w:pPr>
        <w:pStyle w:val="a7"/>
        <w:ind w:left="5103"/>
        <w:rPr>
          <w:rFonts w:ascii="Times New Roman" w:eastAsia="Times New Roman" w:hAnsi="Times New Roman" w:cs="Times New Roman"/>
          <w:b/>
          <w:bCs/>
          <w:color w:val="000000"/>
          <w:lang w:val="ru-RU"/>
        </w:rPr>
      </w:pPr>
    </w:p>
    <w:p w14:paraId="0AF8FE6C" w14:textId="77777777" w:rsidR="0060439D" w:rsidRDefault="0060439D" w:rsidP="0060439D">
      <w:pPr>
        <w:pStyle w:val="a7"/>
        <w:ind w:left="5103"/>
        <w:rPr>
          <w:rFonts w:ascii="Times New Roman" w:eastAsia="Times New Roman" w:hAnsi="Times New Roman" w:cs="Times New Roman"/>
          <w:b/>
          <w:bCs/>
          <w:color w:val="000000"/>
          <w:lang w:val="ru-RU"/>
        </w:rPr>
      </w:pPr>
    </w:p>
    <w:p w14:paraId="76C94AC0" w14:textId="76AC8A5C" w:rsidR="00347F8F" w:rsidRPr="0060439D" w:rsidRDefault="00347F8F" w:rsidP="0060439D">
      <w:pPr>
        <w:spacing w:line="240" w:lineRule="auto"/>
        <w:jc w:val="center"/>
        <w:rPr>
          <w:rFonts w:ascii="Times New Roman" w:hAnsi="Times New Roman" w:cs="Times New Roman"/>
          <w:sz w:val="28"/>
          <w:szCs w:val="28"/>
          <w:lang w:val="ru-RU"/>
        </w:rPr>
      </w:pPr>
      <w:r w:rsidRPr="0060439D">
        <w:rPr>
          <w:rFonts w:ascii="Times New Roman" w:hAnsi="Times New Roman" w:cs="Times New Roman"/>
          <w:b/>
          <w:bCs/>
          <w:sz w:val="28"/>
          <w:szCs w:val="28"/>
          <w:lang w:val="ru-RU"/>
        </w:rPr>
        <w:t>ХІІ. Процедура запобігання несанкціонованому доступу до службової інформації. Вимоги, спрямовані на запобігання маніпулюванню цінами на ринках капіталу.</w:t>
      </w:r>
      <w:r w:rsidR="00344587">
        <w:rPr>
          <w:rFonts w:ascii="Times New Roman" w:hAnsi="Times New Roman" w:cs="Times New Roman"/>
          <w:b/>
          <w:bCs/>
          <w:sz w:val="28"/>
          <w:szCs w:val="28"/>
          <w:lang w:val="ru-RU"/>
        </w:rPr>
        <w:t xml:space="preserve"> </w:t>
      </w:r>
      <w:r w:rsidRPr="0060439D">
        <w:rPr>
          <w:rFonts w:ascii="Times New Roman" w:hAnsi="Times New Roman" w:cs="Times New Roman"/>
          <w:b/>
          <w:bCs/>
          <w:sz w:val="28"/>
          <w:szCs w:val="28"/>
          <w:lang w:val="ru-RU"/>
        </w:rPr>
        <w:t>Порядок</w:t>
      </w:r>
      <w:r w:rsidRPr="0060439D">
        <w:rPr>
          <w:rFonts w:ascii="Times New Roman" w:hAnsi="Times New Roman" w:cs="Times New Roman"/>
          <w:sz w:val="28"/>
          <w:szCs w:val="28"/>
          <w:lang w:val="ru-RU"/>
        </w:rPr>
        <w:t xml:space="preserve"> </w:t>
      </w:r>
      <w:r w:rsidRPr="0060439D">
        <w:rPr>
          <w:rFonts w:ascii="Times New Roman" w:hAnsi="Times New Roman" w:cs="Times New Roman"/>
          <w:b/>
          <w:bCs/>
          <w:sz w:val="28"/>
          <w:szCs w:val="28"/>
          <w:lang w:val="ru-RU"/>
        </w:rPr>
        <w:t>навчання та підвищення кваліфікації працівників Інвестиційної фірми</w:t>
      </w:r>
    </w:p>
    <w:p w14:paraId="2345B032" w14:textId="77777777" w:rsidR="00347F8F" w:rsidRPr="00347F8F" w:rsidRDefault="00347F8F" w:rsidP="00347F8F">
      <w:pPr>
        <w:spacing w:line="240" w:lineRule="auto"/>
        <w:rPr>
          <w:rFonts w:ascii="Times New Roman" w:hAnsi="Times New Roman" w:cs="Times New Roman"/>
          <w:lang w:val="ru-RU"/>
        </w:rPr>
      </w:pPr>
    </w:p>
    <w:p w14:paraId="43853F29" w14:textId="31AF9921" w:rsidR="00347F8F" w:rsidRPr="00347F8F" w:rsidRDefault="00347F8F" w:rsidP="0060439D">
      <w:pPr>
        <w:spacing w:line="240" w:lineRule="auto"/>
        <w:ind w:firstLine="720"/>
        <w:rPr>
          <w:rFonts w:ascii="Times New Roman" w:hAnsi="Times New Roman" w:cs="Times New Roman"/>
          <w:lang w:val="ru-RU"/>
        </w:rPr>
      </w:pPr>
      <w:r w:rsidRPr="00347F8F">
        <w:rPr>
          <w:rFonts w:ascii="Times New Roman" w:hAnsi="Times New Roman" w:cs="Times New Roman"/>
          <w:lang w:val="ru-RU"/>
        </w:rPr>
        <w:t xml:space="preserve">Цей документ є складовою Положення про провадження діяльності з торгівлі фінансовими інструментами в </w:t>
      </w:r>
      <w:r w:rsidR="0060439D">
        <w:rPr>
          <w:rFonts w:ascii="Times New Roman" w:hAnsi="Times New Roman" w:cs="Times New Roman"/>
          <w:lang w:val="ru-RU"/>
        </w:rPr>
        <w:t>ТОВ "ПРДТ ФОНДОВИЙ ЦЕНТР"</w:t>
      </w:r>
      <w:r w:rsidRPr="00347F8F">
        <w:rPr>
          <w:rFonts w:ascii="Times New Roman" w:hAnsi="Times New Roman" w:cs="Times New Roman"/>
          <w:lang w:val="ru-RU"/>
        </w:rPr>
        <w:t xml:space="preserve"> та визначає процедури запобігання несанкціонованому доступу до службової інформації і її неправомірному використанню, у тому числі при суміщенні різних видів професійної діяльності, встановлює вимоги, спрямовані на запобігання маніпулюванню цінами на ринках капіталу, а також визначає порядок навчання та підвищення кваліфікації працівників Інвестиційної фірми.</w:t>
      </w:r>
    </w:p>
    <w:p w14:paraId="69D4EF4B" w14:textId="77777777" w:rsidR="00347F8F" w:rsidRPr="00347F8F" w:rsidRDefault="00347F8F" w:rsidP="00347F8F">
      <w:pPr>
        <w:spacing w:line="240" w:lineRule="auto"/>
        <w:rPr>
          <w:rFonts w:ascii="Times New Roman" w:hAnsi="Times New Roman" w:cs="Times New Roman"/>
          <w:lang w:val="ru-RU"/>
        </w:rPr>
      </w:pPr>
    </w:p>
    <w:p w14:paraId="27AE73B2" w14:textId="6390AB90" w:rsidR="00347F8F" w:rsidRPr="00347F8F" w:rsidRDefault="00347F8F" w:rsidP="0060439D">
      <w:pPr>
        <w:spacing w:line="240" w:lineRule="auto"/>
        <w:jc w:val="center"/>
        <w:rPr>
          <w:rFonts w:ascii="Times New Roman" w:hAnsi="Times New Roman" w:cs="Times New Roman"/>
          <w:lang w:val="ru-RU"/>
        </w:rPr>
      </w:pPr>
      <w:r w:rsidRPr="00347F8F">
        <w:rPr>
          <w:rFonts w:ascii="Times New Roman" w:hAnsi="Times New Roman" w:cs="Times New Roman"/>
          <w:b/>
          <w:bCs/>
          <w:lang w:val="ru-RU"/>
        </w:rPr>
        <w:t>Глава 1.</w:t>
      </w:r>
      <w:r w:rsidRPr="00347F8F">
        <w:rPr>
          <w:rFonts w:ascii="Times New Roman" w:hAnsi="Times New Roman" w:cs="Times New Roman"/>
          <w:lang w:val="ru-RU"/>
        </w:rPr>
        <w:t xml:space="preserve"> </w:t>
      </w:r>
      <w:r w:rsidRPr="00347F8F">
        <w:rPr>
          <w:rFonts w:ascii="Times New Roman" w:hAnsi="Times New Roman" w:cs="Times New Roman"/>
          <w:b/>
          <w:bCs/>
          <w:lang w:val="ru-RU"/>
        </w:rPr>
        <w:t>Процедура запобігання несанкціонованому доступу до службової інформації</w:t>
      </w:r>
      <w:r w:rsidR="0060439D">
        <w:rPr>
          <w:rFonts w:ascii="Times New Roman" w:hAnsi="Times New Roman" w:cs="Times New Roman"/>
          <w:b/>
          <w:bCs/>
          <w:lang w:val="ru-RU"/>
        </w:rPr>
        <w:t xml:space="preserve"> </w:t>
      </w:r>
      <w:r w:rsidRPr="00347F8F">
        <w:rPr>
          <w:rFonts w:ascii="Times New Roman" w:hAnsi="Times New Roman" w:cs="Times New Roman"/>
          <w:b/>
          <w:bCs/>
          <w:lang w:val="ru-RU"/>
        </w:rPr>
        <w:t>і її неправомірному використанню, у тому числі при суміщенні різних видів професійної діяльності</w:t>
      </w:r>
    </w:p>
    <w:p w14:paraId="6A9938F8" w14:textId="77777777" w:rsidR="00347F8F" w:rsidRPr="00347F8F" w:rsidRDefault="00347F8F" w:rsidP="0060439D">
      <w:pPr>
        <w:numPr>
          <w:ilvl w:val="0"/>
          <w:numId w:val="9"/>
        </w:numPr>
        <w:tabs>
          <w:tab w:val="clear" w:pos="720"/>
          <w:tab w:val="num" w:pos="0"/>
        </w:tabs>
        <w:spacing w:line="240" w:lineRule="auto"/>
        <w:ind w:left="0" w:firstLine="0"/>
        <w:rPr>
          <w:rFonts w:ascii="Times New Roman" w:hAnsi="Times New Roman" w:cs="Times New Roman"/>
          <w:lang w:val="ru-RU"/>
        </w:rPr>
      </w:pPr>
      <w:r w:rsidRPr="00347F8F">
        <w:rPr>
          <w:rFonts w:ascii="Times New Roman" w:hAnsi="Times New Roman" w:cs="Times New Roman"/>
          <w:lang w:val="ru-RU"/>
        </w:rPr>
        <w:t>Відомості, які створюються, збираються, отримуються, використовуються, поширюються, охороняються та зберігаються Інвестиційною фірмою в процесі провадження діяльності, відносяться до інформації з обмеженим доступом, окрім інформації, що відповідно до законодавства є публічною.</w:t>
      </w:r>
    </w:p>
    <w:p w14:paraId="132B82F9" w14:textId="77777777" w:rsidR="00347F8F" w:rsidRPr="00347F8F" w:rsidRDefault="00347F8F" w:rsidP="0060439D">
      <w:pPr>
        <w:numPr>
          <w:ilvl w:val="0"/>
          <w:numId w:val="9"/>
        </w:numPr>
        <w:tabs>
          <w:tab w:val="clear" w:pos="720"/>
          <w:tab w:val="num" w:pos="0"/>
        </w:tabs>
        <w:spacing w:line="240" w:lineRule="auto"/>
        <w:ind w:left="0" w:firstLine="0"/>
        <w:rPr>
          <w:rFonts w:ascii="Times New Roman" w:hAnsi="Times New Roman" w:cs="Times New Roman"/>
          <w:lang w:val="ru-RU"/>
        </w:rPr>
      </w:pPr>
      <w:r w:rsidRPr="00347F8F">
        <w:rPr>
          <w:rFonts w:ascii="Times New Roman" w:hAnsi="Times New Roman" w:cs="Times New Roman"/>
          <w:lang w:val="ru-RU"/>
        </w:rPr>
        <w:t>Інформація з обмеженим доступом Інвестиційної фірми є комерційною таємницею, крім інформації, яка відповідно до законодавства не становить комерційної таємниці. Комерційна таємниця не підлягає розкриттю іншим особам, за винятком випадків, передбачених чинним законодавством України, цим Положенням та рішеннями органів управління Інвестиційної фірми.</w:t>
      </w:r>
    </w:p>
    <w:p w14:paraId="074C4E1F" w14:textId="77777777" w:rsidR="00347F8F" w:rsidRPr="00347F8F" w:rsidRDefault="00347F8F" w:rsidP="0060439D">
      <w:pPr>
        <w:numPr>
          <w:ilvl w:val="0"/>
          <w:numId w:val="9"/>
        </w:numPr>
        <w:tabs>
          <w:tab w:val="clear" w:pos="720"/>
          <w:tab w:val="num" w:pos="0"/>
        </w:tabs>
        <w:spacing w:line="240" w:lineRule="auto"/>
        <w:ind w:left="0" w:firstLine="0"/>
        <w:rPr>
          <w:rFonts w:ascii="Times New Roman" w:hAnsi="Times New Roman" w:cs="Times New Roman"/>
          <w:lang w:val="ru-RU"/>
        </w:rPr>
      </w:pPr>
      <w:r w:rsidRPr="00347F8F">
        <w:rPr>
          <w:rFonts w:ascii="Times New Roman" w:hAnsi="Times New Roman" w:cs="Times New Roman"/>
          <w:lang w:val="ru-RU"/>
        </w:rPr>
        <w:t>Інформація, що містить персональні дані, збирається, обробляється, зберігається та захищається у відповідності до вимог законодавства про захист персональних даних. </w:t>
      </w:r>
    </w:p>
    <w:p w14:paraId="155DAF91" w14:textId="77777777" w:rsidR="00347F8F" w:rsidRPr="00347F8F" w:rsidRDefault="00347F8F" w:rsidP="0060439D">
      <w:pPr>
        <w:numPr>
          <w:ilvl w:val="0"/>
          <w:numId w:val="9"/>
        </w:numPr>
        <w:tabs>
          <w:tab w:val="clear" w:pos="720"/>
          <w:tab w:val="num" w:pos="0"/>
        </w:tabs>
        <w:spacing w:line="240" w:lineRule="auto"/>
        <w:ind w:left="0" w:firstLine="0"/>
        <w:rPr>
          <w:rFonts w:ascii="Times New Roman" w:hAnsi="Times New Roman" w:cs="Times New Roman"/>
          <w:lang w:val="ru-RU"/>
        </w:rPr>
      </w:pPr>
      <w:r w:rsidRPr="00347F8F">
        <w:rPr>
          <w:rFonts w:ascii="Times New Roman" w:hAnsi="Times New Roman" w:cs="Times New Roman"/>
          <w:lang w:val="ru-RU"/>
        </w:rPr>
        <w:t>Інвестиційна фірма зобов’язана забезпечити захист інформації, в тому числі інформації з обмеженим доступом, шляхом реалізації організаційних та технічних заходів, спрямованих на запобігання втратам, крадіжкам, несанкціонованому знищенню, викривленню, підробленню, копіюванню та неконтрольованому поширенню інформації з обмеженим доступом.</w:t>
      </w:r>
    </w:p>
    <w:p w14:paraId="4624F8E9" w14:textId="77777777" w:rsidR="00347F8F" w:rsidRPr="00347F8F" w:rsidRDefault="00347F8F" w:rsidP="0060439D">
      <w:pPr>
        <w:numPr>
          <w:ilvl w:val="0"/>
          <w:numId w:val="9"/>
        </w:numPr>
        <w:tabs>
          <w:tab w:val="clear" w:pos="720"/>
          <w:tab w:val="num" w:pos="0"/>
        </w:tabs>
        <w:spacing w:line="240" w:lineRule="auto"/>
        <w:ind w:left="0" w:firstLine="0"/>
        <w:rPr>
          <w:rFonts w:ascii="Times New Roman" w:hAnsi="Times New Roman" w:cs="Times New Roman"/>
          <w:lang w:val="ru-RU"/>
        </w:rPr>
      </w:pPr>
      <w:r w:rsidRPr="00347F8F">
        <w:rPr>
          <w:rFonts w:ascii="Times New Roman" w:hAnsi="Times New Roman" w:cs="Times New Roman"/>
          <w:lang w:val="ru-RU"/>
        </w:rPr>
        <w:t>Інвестиційною фірмою запроваджуються та постійно підтримуються заходи щодо захисту інформації (інформації з обмеженим доступом) від втрати, витоку, руйнування, знищення. Виконується постійний моніторинг систем захисту.</w:t>
      </w:r>
    </w:p>
    <w:p w14:paraId="136DD512" w14:textId="77777777" w:rsidR="00347F8F" w:rsidRPr="00347F8F" w:rsidRDefault="00347F8F" w:rsidP="0060439D">
      <w:pPr>
        <w:numPr>
          <w:ilvl w:val="0"/>
          <w:numId w:val="9"/>
        </w:numPr>
        <w:tabs>
          <w:tab w:val="clear" w:pos="720"/>
          <w:tab w:val="num" w:pos="0"/>
        </w:tabs>
        <w:spacing w:line="240" w:lineRule="auto"/>
        <w:ind w:left="0" w:firstLine="0"/>
        <w:rPr>
          <w:rFonts w:ascii="Times New Roman" w:hAnsi="Times New Roman" w:cs="Times New Roman"/>
          <w:lang w:val="ru-RU"/>
        </w:rPr>
      </w:pPr>
      <w:r w:rsidRPr="00347F8F">
        <w:rPr>
          <w:rFonts w:ascii="Times New Roman" w:hAnsi="Times New Roman" w:cs="Times New Roman"/>
          <w:lang w:val="ru-RU"/>
        </w:rPr>
        <w:t>Доступ до інформаційних систем Інвестиційної фірми регламентується внутрішніми документами та розпорядженнями керівника Інвестиційної фірми.</w:t>
      </w:r>
    </w:p>
    <w:p w14:paraId="7793BF85" w14:textId="77777777" w:rsidR="00347F8F" w:rsidRPr="00347F8F" w:rsidRDefault="00347F8F" w:rsidP="0060439D">
      <w:pPr>
        <w:numPr>
          <w:ilvl w:val="0"/>
          <w:numId w:val="9"/>
        </w:numPr>
        <w:tabs>
          <w:tab w:val="clear" w:pos="720"/>
          <w:tab w:val="num" w:pos="0"/>
        </w:tabs>
        <w:spacing w:line="240" w:lineRule="auto"/>
        <w:ind w:left="0" w:firstLine="0"/>
        <w:rPr>
          <w:rFonts w:ascii="Times New Roman" w:hAnsi="Times New Roman" w:cs="Times New Roman"/>
          <w:lang w:val="ru-RU"/>
        </w:rPr>
      </w:pPr>
      <w:r w:rsidRPr="00347F8F">
        <w:rPr>
          <w:rFonts w:ascii="Times New Roman" w:hAnsi="Times New Roman" w:cs="Times New Roman"/>
          <w:lang w:val="ru-RU"/>
        </w:rPr>
        <w:t>Доступ до інформації, що є комерційною таємницею Інвестиційної фірми, надається:</w:t>
      </w:r>
    </w:p>
    <w:p w14:paraId="7A27430E" w14:textId="77777777" w:rsidR="00347F8F" w:rsidRPr="0060439D" w:rsidRDefault="00347F8F" w:rsidP="0060439D">
      <w:pPr>
        <w:pStyle w:val="ac"/>
        <w:numPr>
          <w:ilvl w:val="0"/>
          <w:numId w:val="34"/>
        </w:numPr>
        <w:rPr>
          <w:rFonts w:ascii="Times New Roman" w:hAnsi="Times New Roman" w:cs="Times New Roman"/>
          <w:lang w:val="ru-RU"/>
        </w:rPr>
      </w:pPr>
      <w:r w:rsidRPr="0060439D">
        <w:rPr>
          <w:rFonts w:ascii="Times New Roman" w:hAnsi="Times New Roman" w:cs="Times New Roman"/>
          <w:lang w:val="ru-RU"/>
        </w:rPr>
        <w:t>керівнику Інвестиційної фірми;</w:t>
      </w:r>
    </w:p>
    <w:p w14:paraId="4F446619" w14:textId="77777777" w:rsidR="00347F8F" w:rsidRPr="0060439D" w:rsidRDefault="00347F8F" w:rsidP="0060439D">
      <w:pPr>
        <w:pStyle w:val="ac"/>
        <w:numPr>
          <w:ilvl w:val="0"/>
          <w:numId w:val="34"/>
        </w:numPr>
        <w:rPr>
          <w:rFonts w:ascii="Times New Roman" w:hAnsi="Times New Roman" w:cs="Times New Roman"/>
          <w:lang w:val="ru-RU"/>
        </w:rPr>
      </w:pPr>
      <w:r w:rsidRPr="0060439D">
        <w:rPr>
          <w:rFonts w:ascii="Times New Roman" w:hAnsi="Times New Roman" w:cs="Times New Roman"/>
          <w:lang w:val="ru-RU"/>
        </w:rPr>
        <w:t>головному бухгалтеру (особі, на яку покладено ведення бухгалтерського обліку) в межах, необхідних для виконання службових обов’язків;</w:t>
      </w:r>
    </w:p>
    <w:p w14:paraId="0E0DAA39" w14:textId="77777777" w:rsidR="00347F8F" w:rsidRPr="0060439D" w:rsidRDefault="00347F8F" w:rsidP="0060439D">
      <w:pPr>
        <w:pStyle w:val="ac"/>
        <w:numPr>
          <w:ilvl w:val="0"/>
          <w:numId w:val="34"/>
        </w:numPr>
        <w:rPr>
          <w:rFonts w:ascii="Times New Roman" w:hAnsi="Times New Roman" w:cs="Times New Roman"/>
          <w:lang w:val="ru-RU"/>
        </w:rPr>
      </w:pPr>
      <w:r w:rsidRPr="0060439D">
        <w:rPr>
          <w:rFonts w:ascii="Times New Roman" w:hAnsi="Times New Roman" w:cs="Times New Roman"/>
          <w:lang w:val="ru-RU"/>
        </w:rPr>
        <w:t>іншим посадовим особам Інвестиційної фірми та фахівцям в межах, необхідних для виконання службових обов’язків.</w:t>
      </w:r>
    </w:p>
    <w:p w14:paraId="3D47F7B7" w14:textId="77777777" w:rsidR="00347F8F" w:rsidRPr="00347F8F" w:rsidRDefault="00347F8F" w:rsidP="00347F8F">
      <w:pPr>
        <w:spacing w:line="240" w:lineRule="auto"/>
        <w:rPr>
          <w:rFonts w:ascii="Times New Roman" w:hAnsi="Times New Roman" w:cs="Times New Roman"/>
          <w:lang w:val="ru-RU"/>
        </w:rPr>
      </w:pPr>
      <w:r w:rsidRPr="00347F8F">
        <w:rPr>
          <w:rFonts w:ascii="Times New Roman" w:hAnsi="Times New Roman" w:cs="Times New Roman"/>
          <w:lang w:val="ru-RU"/>
        </w:rPr>
        <w:lastRenderedPageBreak/>
        <w:t>Інші співробітники Інвестиційної фірми для вирішення разових питань, пов’язаних з виконанням службових обов’язків допускаються до документів з обмеженим доступом Інвестиційної фірми на підставі усного розпорядження керівника Інвестиційної фірми.</w:t>
      </w:r>
    </w:p>
    <w:p w14:paraId="0CF70B5D" w14:textId="77777777" w:rsidR="00347F8F" w:rsidRPr="00347F8F" w:rsidRDefault="00347F8F" w:rsidP="00347F8F">
      <w:pPr>
        <w:numPr>
          <w:ilvl w:val="0"/>
          <w:numId w:val="11"/>
        </w:numPr>
        <w:spacing w:line="240" w:lineRule="auto"/>
        <w:rPr>
          <w:rFonts w:ascii="Times New Roman" w:hAnsi="Times New Roman" w:cs="Times New Roman"/>
          <w:lang w:val="ru-RU"/>
        </w:rPr>
      </w:pPr>
      <w:r w:rsidRPr="00347F8F">
        <w:rPr>
          <w:rFonts w:ascii="Times New Roman" w:hAnsi="Times New Roman" w:cs="Times New Roman"/>
          <w:lang w:val="ru-RU"/>
        </w:rPr>
        <w:t>Особи, що отримали доступ до інформації, що є комерційною таємницею Інвестиційної фірми, зобов’язані зберігати та підтримувати  режим обмеженого доступу до інформації, не допускати та у міру можливостей попереджувати несанкціоноване використання інформації з обмеженим доступом;</w:t>
      </w:r>
    </w:p>
    <w:p w14:paraId="7C7BA721" w14:textId="77777777" w:rsidR="00347F8F" w:rsidRPr="00347F8F" w:rsidRDefault="00347F8F" w:rsidP="00347F8F">
      <w:pPr>
        <w:numPr>
          <w:ilvl w:val="0"/>
          <w:numId w:val="12"/>
        </w:numPr>
        <w:spacing w:line="240" w:lineRule="auto"/>
        <w:rPr>
          <w:rFonts w:ascii="Times New Roman" w:hAnsi="Times New Roman" w:cs="Times New Roman"/>
          <w:lang w:val="ru-RU"/>
        </w:rPr>
      </w:pPr>
      <w:r w:rsidRPr="00347F8F">
        <w:rPr>
          <w:rFonts w:ascii="Times New Roman" w:hAnsi="Times New Roman" w:cs="Times New Roman"/>
          <w:lang w:val="ru-RU"/>
        </w:rPr>
        <w:t>Співробітник Інвестиційної фірми, що отримав інформацію з обмеженим доступом на час роботи з такою інформацією і до її повернення, несе відповідальність за збереження отриманої інформації від несанкціонованого доступу інших осіб;</w:t>
      </w:r>
    </w:p>
    <w:p w14:paraId="2EC78D9B" w14:textId="77777777" w:rsidR="00347F8F" w:rsidRPr="00347F8F" w:rsidRDefault="00347F8F" w:rsidP="00347F8F">
      <w:pPr>
        <w:numPr>
          <w:ilvl w:val="0"/>
          <w:numId w:val="13"/>
        </w:numPr>
        <w:spacing w:line="240" w:lineRule="auto"/>
        <w:rPr>
          <w:rFonts w:ascii="Times New Roman" w:hAnsi="Times New Roman" w:cs="Times New Roman"/>
          <w:lang w:val="ru-RU"/>
        </w:rPr>
      </w:pPr>
      <w:r w:rsidRPr="00347F8F">
        <w:rPr>
          <w:rFonts w:ascii="Times New Roman" w:hAnsi="Times New Roman" w:cs="Times New Roman"/>
          <w:lang w:val="ru-RU"/>
        </w:rPr>
        <w:t>В день звільнення всі носії інформації з обмеженим доступом (документи, рукописи, креслення, чернетки, флеш-носії, диски та будь-які інші носії інформації), передаються посадовій особі, співробітником Інвестиційною фірмою;</w:t>
      </w:r>
    </w:p>
    <w:p w14:paraId="38904D73" w14:textId="77777777" w:rsidR="00347F8F" w:rsidRPr="00347F8F" w:rsidRDefault="00347F8F" w:rsidP="00347F8F">
      <w:pPr>
        <w:numPr>
          <w:ilvl w:val="0"/>
          <w:numId w:val="14"/>
        </w:numPr>
        <w:spacing w:line="240" w:lineRule="auto"/>
        <w:rPr>
          <w:rFonts w:ascii="Times New Roman" w:hAnsi="Times New Roman" w:cs="Times New Roman"/>
          <w:lang w:val="ru-RU"/>
        </w:rPr>
      </w:pPr>
      <w:r w:rsidRPr="00347F8F">
        <w:rPr>
          <w:rFonts w:ascii="Times New Roman" w:hAnsi="Times New Roman" w:cs="Times New Roman"/>
          <w:lang w:val="ru-RU"/>
        </w:rPr>
        <w:t>Забороняється залишати, відтворювати інформацію з обмеженим доступом у місцях, де така інформація може стати доступною для ознайомлення іншим особам, що не мають право на таке ознайомлення, робити копії з інформації з обмеженим доступом, а також виносити інформацію з обмеженим доступом за межі Інвестиційної фірми. </w:t>
      </w:r>
    </w:p>
    <w:p w14:paraId="12F7FBF6" w14:textId="77777777" w:rsidR="00347F8F" w:rsidRPr="00347F8F" w:rsidRDefault="00347F8F" w:rsidP="00347F8F">
      <w:pPr>
        <w:numPr>
          <w:ilvl w:val="0"/>
          <w:numId w:val="15"/>
        </w:numPr>
        <w:spacing w:line="240" w:lineRule="auto"/>
        <w:rPr>
          <w:rFonts w:ascii="Times New Roman" w:hAnsi="Times New Roman" w:cs="Times New Roman"/>
          <w:lang w:val="ru-RU"/>
        </w:rPr>
      </w:pPr>
      <w:r w:rsidRPr="00347F8F">
        <w:rPr>
          <w:rFonts w:ascii="Times New Roman" w:hAnsi="Times New Roman" w:cs="Times New Roman"/>
          <w:lang w:val="ru-RU"/>
        </w:rPr>
        <w:t>Всі робочі станції (комп’ютери) , на яких здійснюється обробка інформації та ведення баз даних, захищаються системою паролів, які забезпечують точну ідентифікацію особи, яка виконає роботи або отримала доступ. Співробітникам Інвестиційної фірми забороняється розголошувати будь-кому відомості про систему паролів, шифрів та кодів, які використовуються допущеними до цієї роботи працівникам, залишати свої робочі місця не заблокувавши доступ до систем електронного обліку.</w:t>
      </w:r>
    </w:p>
    <w:p w14:paraId="4E89D546" w14:textId="77777777" w:rsidR="00347F8F" w:rsidRPr="00347F8F" w:rsidRDefault="00347F8F" w:rsidP="00347F8F">
      <w:pPr>
        <w:numPr>
          <w:ilvl w:val="0"/>
          <w:numId w:val="16"/>
        </w:numPr>
        <w:spacing w:line="240" w:lineRule="auto"/>
        <w:rPr>
          <w:rFonts w:ascii="Times New Roman" w:hAnsi="Times New Roman" w:cs="Times New Roman"/>
          <w:lang w:val="ru-RU"/>
        </w:rPr>
      </w:pPr>
      <w:r w:rsidRPr="00347F8F">
        <w:rPr>
          <w:rFonts w:ascii="Times New Roman" w:hAnsi="Times New Roman" w:cs="Times New Roman"/>
          <w:lang w:val="ru-RU"/>
        </w:rPr>
        <w:t>Для забезпечення цілісності, достовірності та авторства електронних документів в інформаційних системах Інвестиційної фірми використовуються засоби криптографії та кваліфікованого електронного підпису (КЕП). Контроль виконанням операцій забезпечується шляхом розмежування рівнів доступу за допомогою технічних та управлінських заходів (парольна політика, рольова модель доступу). </w:t>
      </w:r>
    </w:p>
    <w:p w14:paraId="18C7AE28" w14:textId="77777777" w:rsidR="00347F8F" w:rsidRPr="00347F8F" w:rsidRDefault="00347F8F" w:rsidP="00347F8F">
      <w:pPr>
        <w:spacing w:line="240" w:lineRule="auto"/>
        <w:rPr>
          <w:rFonts w:ascii="Times New Roman" w:hAnsi="Times New Roman" w:cs="Times New Roman"/>
          <w:lang w:val="ru-RU"/>
        </w:rPr>
      </w:pPr>
    </w:p>
    <w:p w14:paraId="3F70F233" w14:textId="77777777" w:rsidR="00347F8F" w:rsidRPr="00347F8F" w:rsidRDefault="00347F8F" w:rsidP="0060439D">
      <w:pPr>
        <w:spacing w:line="240" w:lineRule="auto"/>
        <w:jc w:val="center"/>
        <w:rPr>
          <w:rFonts w:ascii="Times New Roman" w:hAnsi="Times New Roman" w:cs="Times New Roman"/>
          <w:lang w:val="ru-RU"/>
        </w:rPr>
      </w:pPr>
      <w:r w:rsidRPr="00347F8F">
        <w:rPr>
          <w:rFonts w:ascii="Times New Roman" w:hAnsi="Times New Roman" w:cs="Times New Roman"/>
          <w:b/>
          <w:bCs/>
          <w:lang w:val="ru-RU"/>
        </w:rPr>
        <w:t>Глава 2. Вимоги, спрямовані на запобігання маніпулюванню цінами на ринках капіталу, установлені Інвестиційною фірмою</w:t>
      </w:r>
    </w:p>
    <w:p w14:paraId="6B0854CF" w14:textId="77777777" w:rsidR="00347F8F" w:rsidRPr="00347F8F" w:rsidRDefault="00347F8F" w:rsidP="0060439D">
      <w:pPr>
        <w:numPr>
          <w:ilvl w:val="0"/>
          <w:numId w:val="17"/>
        </w:numPr>
        <w:tabs>
          <w:tab w:val="clear" w:pos="720"/>
          <w:tab w:val="num" w:pos="0"/>
        </w:tabs>
        <w:spacing w:line="240" w:lineRule="auto"/>
        <w:ind w:left="0" w:firstLine="0"/>
        <w:rPr>
          <w:rFonts w:ascii="Times New Roman" w:hAnsi="Times New Roman" w:cs="Times New Roman"/>
          <w:lang w:val="ru-RU"/>
        </w:rPr>
      </w:pPr>
      <w:r w:rsidRPr="00347F8F">
        <w:rPr>
          <w:rFonts w:ascii="Times New Roman" w:hAnsi="Times New Roman" w:cs="Times New Roman"/>
          <w:lang w:val="ru-RU"/>
        </w:rPr>
        <w:t>Інвестиційна фірма не допускає маніпулювання цінами на ринку капіталу.</w:t>
      </w:r>
    </w:p>
    <w:p w14:paraId="39AA7193" w14:textId="77777777" w:rsidR="00347F8F" w:rsidRPr="00347F8F" w:rsidRDefault="00347F8F" w:rsidP="0060439D">
      <w:pPr>
        <w:numPr>
          <w:ilvl w:val="0"/>
          <w:numId w:val="17"/>
        </w:numPr>
        <w:tabs>
          <w:tab w:val="clear" w:pos="720"/>
          <w:tab w:val="num" w:pos="0"/>
        </w:tabs>
        <w:spacing w:line="240" w:lineRule="auto"/>
        <w:ind w:left="0" w:firstLine="0"/>
        <w:rPr>
          <w:rFonts w:ascii="Times New Roman" w:hAnsi="Times New Roman" w:cs="Times New Roman"/>
          <w:lang w:val="ru-RU"/>
        </w:rPr>
      </w:pPr>
      <w:r w:rsidRPr="00347F8F">
        <w:rPr>
          <w:rFonts w:ascii="Times New Roman" w:hAnsi="Times New Roman" w:cs="Times New Roman"/>
          <w:lang w:val="ru-RU"/>
        </w:rPr>
        <w:t>Маніпулюванням на організованих ринках є:</w:t>
      </w:r>
    </w:p>
    <w:p w14:paraId="5AD3EF4A" w14:textId="77777777" w:rsidR="00347F8F" w:rsidRPr="00347F8F" w:rsidRDefault="00347F8F" w:rsidP="0060439D">
      <w:pPr>
        <w:numPr>
          <w:ilvl w:val="0"/>
          <w:numId w:val="18"/>
        </w:numPr>
        <w:spacing w:line="240" w:lineRule="auto"/>
        <w:rPr>
          <w:rFonts w:ascii="Times New Roman" w:hAnsi="Times New Roman" w:cs="Times New Roman"/>
          <w:lang w:val="ru-RU"/>
        </w:rPr>
      </w:pPr>
      <w:r w:rsidRPr="00347F8F">
        <w:rPr>
          <w:rFonts w:ascii="Times New Roman" w:hAnsi="Times New Roman" w:cs="Times New Roman"/>
          <w:lang w:val="ru-RU"/>
        </w:rPr>
        <w:t>здійснення або намагання здійснити операції чи надсилання заявки або котирування щодо укладення деривативних контрактів, купівлю або продаж фінансових інструментів та/або інших активів, допущених до торгів на організованих ринках, які надають або можуть надавати уявлення щодо поставки, придбання або ціни деривативного контракту, фінансового інструменту та/або активу, допущеного до торгів на організованих ринках, що не відповідають дійсності, та вчиняються одноосібно або за попередньою змовою групою осіб і призводять до встановлення інших цін, ніж ті, що існували б за відсутності таких операцій або заявок;</w:t>
      </w:r>
    </w:p>
    <w:p w14:paraId="0F8FD063" w14:textId="77777777" w:rsidR="00347F8F" w:rsidRPr="00347F8F" w:rsidRDefault="00347F8F" w:rsidP="0060439D">
      <w:pPr>
        <w:numPr>
          <w:ilvl w:val="0"/>
          <w:numId w:val="18"/>
        </w:numPr>
        <w:spacing w:line="240" w:lineRule="auto"/>
        <w:rPr>
          <w:rFonts w:ascii="Times New Roman" w:hAnsi="Times New Roman" w:cs="Times New Roman"/>
          <w:lang w:val="ru-RU"/>
        </w:rPr>
      </w:pPr>
      <w:r w:rsidRPr="00347F8F">
        <w:rPr>
          <w:rFonts w:ascii="Times New Roman" w:hAnsi="Times New Roman" w:cs="Times New Roman"/>
          <w:lang w:val="ru-RU"/>
        </w:rPr>
        <w:t>здійснення або намагання здійснити операції чи надсилання заявки або котирування щодо укладення деривативних контрактів, купівлю або продаж фінансових інструментів та/або інших активів, допущених до торгів на організованих ринках, шляхом вчинення умисних протиправних дій;</w:t>
      </w:r>
    </w:p>
    <w:p w14:paraId="1B3A2C06" w14:textId="77777777" w:rsidR="00347F8F" w:rsidRPr="00347F8F" w:rsidRDefault="00347F8F" w:rsidP="0060439D">
      <w:pPr>
        <w:numPr>
          <w:ilvl w:val="0"/>
          <w:numId w:val="18"/>
        </w:numPr>
        <w:spacing w:line="240" w:lineRule="auto"/>
        <w:rPr>
          <w:rFonts w:ascii="Times New Roman" w:hAnsi="Times New Roman" w:cs="Times New Roman"/>
          <w:lang w:val="ru-RU"/>
        </w:rPr>
      </w:pPr>
      <w:r w:rsidRPr="00347F8F">
        <w:rPr>
          <w:rFonts w:ascii="Times New Roman" w:hAnsi="Times New Roman" w:cs="Times New Roman"/>
          <w:lang w:val="ru-RU"/>
        </w:rPr>
        <w:t>поширення через засоби масової інформації, у тому числі електронні засоби масової інформації, або будь-яким іншим способом інформації, що не відповідає дійсності, зокрема недостовірної інформації, у разі коли особа, яка поширила таку інформацію, знала або повинна була знати про недостовірність такої інформації, що призводить або може призвести до введення в оману учасників ринку щодо:</w:t>
      </w:r>
    </w:p>
    <w:p w14:paraId="21B7B5A7" w14:textId="77777777" w:rsidR="00347F8F" w:rsidRPr="00347F8F" w:rsidRDefault="00347F8F" w:rsidP="0060439D">
      <w:pPr>
        <w:spacing w:line="240" w:lineRule="auto"/>
        <w:ind w:firstLine="567"/>
        <w:rPr>
          <w:rFonts w:ascii="Times New Roman" w:hAnsi="Times New Roman" w:cs="Times New Roman"/>
          <w:lang w:val="ru-RU"/>
        </w:rPr>
      </w:pPr>
      <w:r w:rsidRPr="00347F8F">
        <w:rPr>
          <w:rFonts w:ascii="Times New Roman" w:hAnsi="Times New Roman" w:cs="Times New Roman"/>
          <w:lang w:val="ru-RU"/>
        </w:rPr>
        <w:t>а) ціни, попиту, пропозиції або обсягів укладених на організованих ринках фінансових інструментів та правочинів щодо них;</w:t>
      </w:r>
    </w:p>
    <w:p w14:paraId="1FC0887C" w14:textId="77777777" w:rsidR="00347F8F" w:rsidRPr="00347F8F" w:rsidRDefault="00347F8F" w:rsidP="0060439D">
      <w:pPr>
        <w:spacing w:line="240" w:lineRule="auto"/>
        <w:ind w:firstLine="567"/>
        <w:rPr>
          <w:rFonts w:ascii="Times New Roman" w:hAnsi="Times New Roman" w:cs="Times New Roman"/>
          <w:lang w:val="ru-RU"/>
        </w:rPr>
      </w:pPr>
      <w:r w:rsidRPr="00347F8F">
        <w:rPr>
          <w:rFonts w:ascii="Times New Roman" w:hAnsi="Times New Roman" w:cs="Times New Roman"/>
          <w:lang w:val="ru-RU"/>
        </w:rPr>
        <w:t>б) ціни, попиту, пропозиції або обсягів торгів іншими, ніж зазначено у пункті "а", активами, допущеними до торгів на організованих ринках;</w:t>
      </w:r>
    </w:p>
    <w:p w14:paraId="3840B518" w14:textId="77777777" w:rsidR="00347F8F" w:rsidRPr="00347F8F" w:rsidRDefault="00347F8F" w:rsidP="0060439D">
      <w:pPr>
        <w:spacing w:line="240" w:lineRule="auto"/>
        <w:ind w:firstLine="567"/>
        <w:rPr>
          <w:rFonts w:ascii="Times New Roman" w:hAnsi="Times New Roman" w:cs="Times New Roman"/>
          <w:lang w:val="ru-RU"/>
        </w:rPr>
      </w:pPr>
      <w:r w:rsidRPr="00347F8F">
        <w:rPr>
          <w:rFonts w:ascii="Times New Roman" w:hAnsi="Times New Roman" w:cs="Times New Roman"/>
          <w:lang w:val="ru-RU"/>
        </w:rPr>
        <w:lastRenderedPageBreak/>
        <w:t>в) ціни, попиту, пропозиції або обсягів торгів на організованих ринках базовим активом фінансових інструментів;</w:t>
      </w:r>
    </w:p>
    <w:p w14:paraId="25702E77" w14:textId="77777777" w:rsidR="00347F8F" w:rsidRPr="00347F8F" w:rsidRDefault="00347F8F" w:rsidP="0060439D">
      <w:pPr>
        <w:spacing w:line="240" w:lineRule="auto"/>
        <w:ind w:firstLine="567"/>
        <w:rPr>
          <w:rFonts w:ascii="Times New Roman" w:hAnsi="Times New Roman" w:cs="Times New Roman"/>
          <w:lang w:val="ru-RU"/>
        </w:rPr>
      </w:pPr>
      <w:r w:rsidRPr="00347F8F">
        <w:rPr>
          <w:rFonts w:ascii="Times New Roman" w:hAnsi="Times New Roman" w:cs="Times New Roman"/>
          <w:lang w:val="ru-RU"/>
        </w:rPr>
        <w:t>г) значення базового показника деривативного контракту;</w:t>
      </w:r>
    </w:p>
    <w:p w14:paraId="5BB34F6A" w14:textId="77777777" w:rsidR="00347F8F" w:rsidRPr="00347F8F" w:rsidRDefault="00347F8F" w:rsidP="0060439D">
      <w:pPr>
        <w:numPr>
          <w:ilvl w:val="0"/>
          <w:numId w:val="35"/>
        </w:numPr>
        <w:spacing w:line="240" w:lineRule="auto"/>
        <w:rPr>
          <w:rFonts w:ascii="Times New Roman" w:hAnsi="Times New Roman" w:cs="Times New Roman"/>
          <w:lang w:val="ru-RU"/>
        </w:rPr>
      </w:pPr>
      <w:r w:rsidRPr="00347F8F">
        <w:rPr>
          <w:rFonts w:ascii="Times New Roman" w:hAnsi="Times New Roman" w:cs="Times New Roman"/>
          <w:lang w:val="ru-RU"/>
        </w:rPr>
        <w:t>укладання деривативних контрактів, купівля або продаж фінансових інструментів та/або інших активів, допущених до торгів на організованому ринку, перед закриттям торговельної сесії організованого ринку з метою введення в оману учасників ринку щодо цін, що склалися наприкінці торговельної сесії;</w:t>
      </w:r>
    </w:p>
    <w:p w14:paraId="08FA7A97" w14:textId="77777777" w:rsidR="00347F8F" w:rsidRPr="00347F8F" w:rsidRDefault="00347F8F" w:rsidP="0060439D">
      <w:pPr>
        <w:numPr>
          <w:ilvl w:val="0"/>
          <w:numId w:val="35"/>
        </w:numPr>
        <w:spacing w:line="240" w:lineRule="auto"/>
        <w:rPr>
          <w:rFonts w:ascii="Times New Roman" w:hAnsi="Times New Roman" w:cs="Times New Roman"/>
          <w:lang w:val="ru-RU"/>
        </w:rPr>
      </w:pPr>
      <w:r w:rsidRPr="00347F8F">
        <w:rPr>
          <w:rFonts w:ascii="Times New Roman" w:hAnsi="Times New Roman" w:cs="Times New Roman"/>
          <w:lang w:val="ru-RU"/>
        </w:rPr>
        <w:t>неодноразове протягом торговельного дня укладання двома або більше учасниками торгів деривативних контрактів, договорів купівлі-продажу фінансових інструментів та/або інших активів, допущених до торгів на організованому ринку, у власних інтересах чи за рахунок одного і того самого клієнта, за якими кожен з учасників торгів виступає як сторона деривативного контракту, продавець та покупець одного і того самого фінансового інструменту та/або іншого активу, допущеного до торгів на організованому ринку, за однаковою ціною в однаковій кількості або які не мають очевидного економічного сенсу або очевидної законної мети хоча б для одного з учасників торгів або їх клієнтів, а також надання клієнтом кільком учасникам торгів доручення на укладення в його інтересах одного або більше деривативних контрактів, договорів з одним і тим самим фінансовим інструментом та/або іншим активом, допущеним до торгів на організованому ринку, під час яких покупець та продавець діють в інтересах клієнта;</w:t>
      </w:r>
    </w:p>
    <w:p w14:paraId="0C3DA79C" w14:textId="77777777" w:rsidR="00347F8F" w:rsidRPr="00347F8F" w:rsidRDefault="00347F8F" w:rsidP="0060439D">
      <w:pPr>
        <w:numPr>
          <w:ilvl w:val="0"/>
          <w:numId w:val="35"/>
        </w:numPr>
        <w:spacing w:line="240" w:lineRule="auto"/>
        <w:rPr>
          <w:rFonts w:ascii="Times New Roman" w:hAnsi="Times New Roman" w:cs="Times New Roman"/>
          <w:lang w:val="ru-RU"/>
        </w:rPr>
      </w:pPr>
      <w:r w:rsidRPr="00347F8F">
        <w:rPr>
          <w:rFonts w:ascii="Times New Roman" w:hAnsi="Times New Roman" w:cs="Times New Roman"/>
          <w:lang w:val="ru-RU"/>
        </w:rPr>
        <w:t>здійснення протягом торговельного дня або намагання здійснити операції чи надсилання заявки або котирування щодо укладення деривативних контрактів, купівлю або продаж фінансових інструментів та/або інших активів, допущених до торгів на організованому ринку, а також фінансових інструментів та/або продукції, що є базовим активом фінансових інструментів, що не мають очевидного економічного сенсу або очевидної законної мети, якщо за результатами таких торгів власник таких активів, фінансових інструментів та/або продукції не змінюється;</w:t>
      </w:r>
    </w:p>
    <w:p w14:paraId="3453BA5A" w14:textId="77777777" w:rsidR="00347F8F" w:rsidRPr="00347F8F" w:rsidRDefault="00347F8F" w:rsidP="0060439D">
      <w:pPr>
        <w:numPr>
          <w:ilvl w:val="0"/>
          <w:numId w:val="35"/>
        </w:numPr>
        <w:spacing w:line="240" w:lineRule="auto"/>
        <w:rPr>
          <w:rFonts w:ascii="Times New Roman" w:hAnsi="Times New Roman" w:cs="Times New Roman"/>
          <w:lang w:val="ru-RU"/>
        </w:rPr>
      </w:pPr>
      <w:r w:rsidRPr="00347F8F">
        <w:rPr>
          <w:rFonts w:ascii="Times New Roman" w:hAnsi="Times New Roman" w:cs="Times New Roman"/>
          <w:lang w:val="ru-RU"/>
        </w:rPr>
        <w:t>неодноразове невиконання учасником організованого ринку зобов’язань за контрактами, укладеними протягом торговельного дня у власних інтересах або за рахунок клієнтів, якщо укладення зазначених контрактів призвело до істотного збільшення або зниження ціни деривативного контракту, іншого фінансового інструменту та/або іншого активу, допущеного до торгів на організованому ринку, за умови що такі контракти мали вагомий істотний вплив на ціну такого активу;</w:t>
      </w:r>
    </w:p>
    <w:p w14:paraId="0B20EEC2" w14:textId="77777777" w:rsidR="00347F8F" w:rsidRPr="00347F8F" w:rsidRDefault="00347F8F" w:rsidP="0060439D">
      <w:pPr>
        <w:numPr>
          <w:ilvl w:val="0"/>
          <w:numId w:val="35"/>
        </w:numPr>
        <w:spacing w:line="240" w:lineRule="auto"/>
        <w:rPr>
          <w:rFonts w:ascii="Times New Roman" w:hAnsi="Times New Roman" w:cs="Times New Roman"/>
          <w:lang w:val="ru-RU"/>
        </w:rPr>
      </w:pPr>
      <w:r w:rsidRPr="00347F8F">
        <w:rPr>
          <w:rFonts w:ascii="Times New Roman" w:hAnsi="Times New Roman" w:cs="Times New Roman"/>
          <w:lang w:val="ru-RU"/>
        </w:rPr>
        <w:t>укладення на організованому ринку деривативних контрактів та договорів щодо фінансових інструментів та/або інших активів, допущених до торгів на організованому ринку, за ціною, що суттєво відхиляється від ціни відповідного деривативного контракту, фінансового інструменту та/або активу, що склалася на такому організованому ринку тієї самої торговельної сесії (поточна ціна) шляхом подання безадресних заявок або котирувань, за умови укладення договорів від імені та/або за рахунок осіб, між якими (працівниками яких) існувала попередня домовленість про укладення деривативного контракту, придбання або продаж фінансового інструменту та/або іншого активу, допущеного до торгів на організованому ринку, за ціною, що суттєво відхиляється від поточної ціни.</w:t>
      </w:r>
    </w:p>
    <w:p w14:paraId="097436B6" w14:textId="77777777" w:rsidR="00347F8F" w:rsidRPr="00347F8F" w:rsidRDefault="00347F8F" w:rsidP="00347F8F">
      <w:pPr>
        <w:spacing w:line="240" w:lineRule="auto"/>
        <w:rPr>
          <w:rFonts w:ascii="Times New Roman" w:hAnsi="Times New Roman" w:cs="Times New Roman"/>
          <w:lang w:val="ru-RU"/>
        </w:rPr>
      </w:pPr>
    </w:p>
    <w:p w14:paraId="6A25CF1A" w14:textId="77777777" w:rsidR="00347F8F" w:rsidRPr="00347F8F" w:rsidRDefault="00347F8F" w:rsidP="00347F8F">
      <w:pPr>
        <w:numPr>
          <w:ilvl w:val="0"/>
          <w:numId w:val="24"/>
        </w:numPr>
        <w:spacing w:line="240" w:lineRule="auto"/>
        <w:rPr>
          <w:rFonts w:ascii="Times New Roman" w:hAnsi="Times New Roman" w:cs="Times New Roman"/>
          <w:lang w:val="ru-RU"/>
        </w:rPr>
      </w:pPr>
      <w:r w:rsidRPr="00347F8F">
        <w:rPr>
          <w:rFonts w:ascii="Times New Roman" w:hAnsi="Times New Roman" w:cs="Times New Roman"/>
          <w:lang w:val="ru-RU"/>
        </w:rPr>
        <w:t>Не є маніпулюванням на організованих ринках дії, що мають на меті:</w:t>
      </w:r>
    </w:p>
    <w:p w14:paraId="4787192C" w14:textId="77777777" w:rsidR="00347F8F" w:rsidRPr="00347F8F" w:rsidRDefault="00347F8F" w:rsidP="0060439D">
      <w:pPr>
        <w:numPr>
          <w:ilvl w:val="0"/>
          <w:numId w:val="25"/>
        </w:numPr>
        <w:spacing w:line="240" w:lineRule="auto"/>
        <w:rPr>
          <w:rFonts w:ascii="Times New Roman" w:hAnsi="Times New Roman" w:cs="Times New Roman"/>
          <w:lang w:val="ru-RU"/>
        </w:rPr>
      </w:pPr>
      <w:r w:rsidRPr="00347F8F">
        <w:rPr>
          <w:rFonts w:ascii="Times New Roman" w:hAnsi="Times New Roman" w:cs="Times New Roman"/>
          <w:lang w:val="ru-RU"/>
        </w:rPr>
        <w:t>підтримання цін на емісійні цінні папери у зв’язку з їх публічним розміщенням або обігом, за умови вчинення учасником організованого ринку капіталу таких дій на підставі договору про виконання функцій маркет-мейкера, укладеного з оператором такого ринку;</w:t>
      </w:r>
    </w:p>
    <w:p w14:paraId="24DD8913" w14:textId="77777777" w:rsidR="00347F8F" w:rsidRPr="00347F8F" w:rsidRDefault="00347F8F" w:rsidP="0060439D">
      <w:pPr>
        <w:numPr>
          <w:ilvl w:val="0"/>
          <w:numId w:val="25"/>
        </w:numPr>
        <w:spacing w:line="240" w:lineRule="auto"/>
        <w:rPr>
          <w:rFonts w:ascii="Times New Roman" w:hAnsi="Times New Roman" w:cs="Times New Roman"/>
          <w:lang w:val="ru-RU"/>
        </w:rPr>
      </w:pPr>
      <w:r w:rsidRPr="00347F8F">
        <w:rPr>
          <w:rFonts w:ascii="Times New Roman" w:hAnsi="Times New Roman" w:cs="Times New Roman"/>
          <w:lang w:val="ru-RU"/>
        </w:rPr>
        <w:t>підтримання цін на цінні папери відкритих або інтервальних інститутів спільного інвестування у зв’язку з їх викупом у випадках, передбачених законом;</w:t>
      </w:r>
    </w:p>
    <w:p w14:paraId="61E05A71" w14:textId="77777777" w:rsidR="00347F8F" w:rsidRPr="00347F8F" w:rsidRDefault="00347F8F" w:rsidP="0060439D">
      <w:pPr>
        <w:numPr>
          <w:ilvl w:val="0"/>
          <w:numId w:val="25"/>
        </w:numPr>
        <w:spacing w:line="240" w:lineRule="auto"/>
        <w:rPr>
          <w:rFonts w:ascii="Times New Roman" w:hAnsi="Times New Roman" w:cs="Times New Roman"/>
          <w:lang w:val="ru-RU"/>
        </w:rPr>
      </w:pPr>
      <w:r w:rsidRPr="00347F8F">
        <w:rPr>
          <w:rFonts w:ascii="Times New Roman" w:hAnsi="Times New Roman" w:cs="Times New Roman"/>
          <w:lang w:val="ru-RU"/>
        </w:rPr>
        <w:t>підтримання цін, попиту, пропозиції або обсягів укладення деривативних контрактів, торгів фінансовими інструментами та/або іншими активами, допущеними до торгів на організованому ринку, за умови, що такі дії вчиняються учасником організованого ринку капіталу на підставі договору про виконання функцій маркет-мейкера, укладеного з оператором такого ринку.</w:t>
      </w:r>
    </w:p>
    <w:p w14:paraId="76FA9842" w14:textId="77777777" w:rsidR="00347F8F" w:rsidRPr="00347F8F" w:rsidRDefault="00347F8F" w:rsidP="00347F8F">
      <w:pPr>
        <w:numPr>
          <w:ilvl w:val="0"/>
          <w:numId w:val="26"/>
        </w:numPr>
        <w:spacing w:line="240" w:lineRule="auto"/>
        <w:rPr>
          <w:rFonts w:ascii="Times New Roman" w:hAnsi="Times New Roman" w:cs="Times New Roman"/>
          <w:lang w:val="ru-RU"/>
        </w:rPr>
      </w:pPr>
      <w:r w:rsidRPr="00347F8F">
        <w:rPr>
          <w:rFonts w:ascii="Times New Roman" w:hAnsi="Times New Roman" w:cs="Times New Roman"/>
          <w:lang w:val="ru-RU"/>
        </w:rPr>
        <w:t>Не є маніпулюванням на організованих ринках дії, що вчиняються Національним банком України, органами державної влади з метою реалізації грошово-кредитної політики або політики управління державним боргом.</w:t>
      </w:r>
    </w:p>
    <w:p w14:paraId="06B01BCF" w14:textId="77777777" w:rsidR="00347F8F" w:rsidRPr="00347F8F" w:rsidRDefault="00347F8F" w:rsidP="00347F8F">
      <w:pPr>
        <w:numPr>
          <w:ilvl w:val="0"/>
          <w:numId w:val="27"/>
        </w:numPr>
        <w:spacing w:line="240" w:lineRule="auto"/>
        <w:rPr>
          <w:rFonts w:ascii="Times New Roman" w:hAnsi="Times New Roman" w:cs="Times New Roman"/>
          <w:lang w:val="ru-RU"/>
        </w:rPr>
      </w:pPr>
      <w:r w:rsidRPr="00347F8F">
        <w:rPr>
          <w:rFonts w:ascii="Times New Roman" w:hAnsi="Times New Roman" w:cs="Times New Roman"/>
          <w:lang w:val="ru-RU"/>
        </w:rPr>
        <w:lastRenderedPageBreak/>
        <w:t>Інвестиційна фірма здійснює процедури спрямованні на уникнення маніпулювання цінами на ринках капіталу, а саме:</w:t>
      </w:r>
    </w:p>
    <w:p w14:paraId="2D27832E" w14:textId="77777777" w:rsidR="00347F8F" w:rsidRPr="0060439D" w:rsidRDefault="00347F8F" w:rsidP="0060439D">
      <w:pPr>
        <w:pStyle w:val="ac"/>
        <w:numPr>
          <w:ilvl w:val="0"/>
          <w:numId w:val="36"/>
        </w:numPr>
        <w:rPr>
          <w:rFonts w:ascii="Times New Roman" w:hAnsi="Times New Roman" w:cs="Times New Roman"/>
          <w:lang w:val="ru-RU"/>
        </w:rPr>
      </w:pPr>
      <w:r w:rsidRPr="0060439D">
        <w:rPr>
          <w:rFonts w:ascii="Times New Roman" w:hAnsi="Times New Roman" w:cs="Times New Roman"/>
          <w:lang w:val="ru-RU"/>
        </w:rPr>
        <w:t>проводить аналіз операцій на відсутність маніпулювання цінами на ринках капіталу</w:t>
      </w:r>
    </w:p>
    <w:p w14:paraId="5FE05147" w14:textId="77777777" w:rsidR="00347F8F" w:rsidRPr="0060439D" w:rsidRDefault="00347F8F" w:rsidP="0060439D">
      <w:pPr>
        <w:pStyle w:val="ac"/>
        <w:numPr>
          <w:ilvl w:val="0"/>
          <w:numId w:val="36"/>
        </w:numPr>
        <w:rPr>
          <w:rFonts w:ascii="Times New Roman" w:hAnsi="Times New Roman" w:cs="Times New Roman"/>
          <w:lang w:val="ru-RU"/>
        </w:rPr>
      </w:pPr>
      <w:r w:rsidRPr="0060439D">
        <w:rPr>
          <w:rFonts w:ascii="Times New Roman" w:hAnsi="Times New Roman" w:cs="Times New Roman"/>
          <w:lang w:val="ru-RU"/>
        </w:rPr>
        <w:t>при укладанні угод враховує біржові курси;</w:t>
      </w:r>
    </w:p>
    <w:p w14:paraId="3B9AFB44" w14:textId="77777777" w:rsidR="00347F8F" w:rsidRPr="0060439D" w:rsidRDefault="00347F8F" w:rsidP="0060439D">
      <w:pPr>
        <w:pStyle w:val="ac"/>
        <w:numPr>
          <w:ilvl w:val="0"/>
          <w:numId w:val="36"/>
        </w:numPr>
        <w:rPr>
          <w:rFonts w:ascii="Times New Roman" w:hAnsi="Times New Roman" w:cs="Times New Roman"/>
          <w:lang w:val="ru-RU"/>
        </w:rPr>
      </w:pPr>
      <w:r w:rsidRPr="0060439D">
        <w:rPr>
          <w:rFonts w:ascii="Times New Roman" w:hAnsi="Times New Roman" w:cs="Times New Roman"/>
          <w:lang w:val="ru-RU"/>
        </w:rPr>
        <w:t>проводить моніторинг та вивчення кращих практик для удосконалення процедур контролю та для уникнення маніпулювання цінами на ринках капіталу.</w:t>
      </w:r>
    </w:p>
    <w:p w14:paraId="43A63DD0" w14:textId="77777777" w:rsidR="00347F8F" w:rsidRPr="00347F8F" w:rsidRDefault="00347F8F" w:rsidP="00347F8F">
      <w:pPr>
        <w:spacing w:line="240" w:lineRule="auto"/>
        <w:rPr>
          <w:rFonts w:ascii="Times New Roman" w:hAnsi="Times New Roman" w:cs="Times New Roman"/>
          <w:lang w:val="ru-RU"/>
        </w:rPr>
      </w:pPr>
    </w:p>
    <w:p w14:paraId="5F35EDC7" w14:textId="77777777" w:rsidR="00347F8F" w:rsidRPr="00347F8F" w:rsidRDefault="00347F8F" w:rsidP="0060439D">
      <w:pPr>
        <w:spacing w:line="240" w:lineRule="auto"/>
        <w:jc w:val="center"/>
        <w:rPr>
          <w:rFonts w:ascii="Times New Roman" w:hAnsi="Times New Roman" w:cs="Times New Roman"/>
          <w:lang w:val="ru-RU"/>
        </w:rPr>
      </w:pPr>
      <w:r w:rsidRPr="00347F8F">
        <w:rPr>
          <w:rFonts w:ascii="Times New Roman" w:hAnsi="Times New Roman" w:cs="Times New Roman"/>
          <w:b/>
          <w:bCs/>
          <w:lang w:val="ru-RU"/>
        </w:rPr>
        <w:t>Глава 3. Порядок</w:t>
      </w:r>
      <w:r w:rsidRPr="00347F8F">
        <w:rPr>
          <w:rFonts w:ascii="Times New Roman" w:hAnsi="Times New Roman" w:cs="Times New Roman"/>
          <w:lang w:val="ru-RU"/>
        </w:rPr>
        <w:t xml:space="preserve"> </w:t>
      </w:r>
      <w:r w:rsidRPr="00347F8F">
        <w:rPr>
          <w:rFonts w:ascii="Times New Roman" w:hAnsi="Times New Roman" w:cs="Times New Roman"/>
          <w:b/>
          <w:bCs/>
          <w:lang w:val="ru-RU"/>
        </w:rPr>
        <w:t>навчання та підвищення кваліфікації працівників Інвестиційної фірми</w:t>
      </w:r>
    </w:p>
    <w:p w14:paraId="32EFCEE0" w14:textId="77777777" w:rsidR="00347F8F" w:rsidRPr="00347F8F" w:rsidRDefault="00347F8F" w:rsidP="0060439D">
      <w:pPr>
        <w:numPr>
          <w:ilvl w:val="0"/>
          <w:numId w:val="29"/>
        </w:numPr>
        <w:tabs>
          <w:tab w:val="clear" w:pos="720"/>
          <w:tab w:val="num" w:pos="0"/>
        </w:tabs>
        <w:spacing w:line="240" w:lineRule="auto"/>
        <w:ind w:left="0" w:firstLine="0"/>
        <w:rPr>
          <w:rFonts w:ascii="Times New Roman" w:hAnsi="Times New Roman" w:cs="Times New Roman"/>
          <w:lang w:val="ru-RU"/>
        </w:rPr>
      </w:pPr>
      <w:r w:rsidRPr="00347F8F">
        <w:rPr>
          <w:rFonts w:ascii="Times New Roman" w:hAnsi="Times New Roman" w:cs="Times New Roman"/>
          <w:lang w:val="ru-RU"/>
        </w:rPr>
        <w:t>Підвищення кваліфікації є підвищенням рівня професійних знань працівника, вмінь, навичок та етичних принципів роботи на ринках капіталу та організованих товарних ринках, що є його важливим професійним обов’язком. Інвестиційна фірма в особі керівника має спонукати  працівника та сприяти дотриманню працівником вимог щодо його безперервного професійного розвитку.</w:t>
      </w:r>
    </w:p>
    <w:p w14:paraId="34E02A36" w14:textId="77777777" w:rsidR="00347F8F" w:rsidRPr="00347F8F" w:rsidRDefault="00347F8F" w:rsidP="0060439D">
      <w:pPr>
        <w:numPr>
          <w:ilvl w:val="0"/>
          <w:numId w:val="29"/>
        </w:numPr>
        <w:tabs>
          <w:tab w:val="clear" w:pos="720"/>
          <w:tab w:val="num" w:pos="0"/>
        </w:tabs>
        <w:spacing w:line="240" w:lineRule="auto"/>
        <w:ind w:left="0" w:firstLine="0"/>
        <w:rPr>
          <w:rFonts w:ascii="Times New Roman" w:hAnsi="Times New Roman" w:cs="Times New Roman"/>
          <w:lang w:val="ru-RU"/>
        </w:rPr>
      </w:pPr>
      <w:r w:rsidRPr="00347F8F">
        <w:rPr>
          <w:rFonts w:ascii="Times New Roman" w:hAnsi="Times New Roman" w:cs="Times New Roman"/>
          <w:lang w:val="ru-RU"/>
        </w:rPr>
        <w:t>Інвестиційна фірма забезпечує своїм працівникам безперервний професійний розвиток згідно з вимогами чинного законодавства, у тому числі нормативно-правовими актами НКЦПФР щодо порядку атестації фахівців з питань ринків капіталу та організованих товарних ринків.</w:t>
      </w:r>
    </w:p>
    <w:p w14:paraId="16C0345C" w14:textId="77777777" w:rsidR="00347F8F" w:rsidRPr="00347F8F" w:rsidRDefault="00347F8F" w:rsidP="0060439D">
      <w:pPr>
        <w:numPr>
          <w:ilvl w:val="0"/>
          <w:numId w:val="29"/>
        </w:numPr>
        <w:tabs>
          <w:tab w:val="clear" w:pos="720"/>
          <w:tab w:val="num" w:pos="0"/>
        </w:tabs>
        <w:spacing w:line="240" w:lineRule="auto"/>
        <w:ind w:left="0" w:firstLine="0"/>
        <w:rPr>
          <w:rFonts w:ascii="Times New Roman" w:hAnsi="Times New Roman" w:cs="Times New Roman"/>
          <w:lang w:val="ru-RU"/>
        </w:rPr>
      </w:pPr>
      <w:r w:rsidRPr="00347F8F">
        <w:rPr>
          <w:rFonts w:ascii="Times New Roman" w:hAnsi="Times New Roman" w:cs="Times New Roman"/>
          <w:lang w:val="ru-RU"/>
        </w:rPr>
        <w:t>Безперервний професійний розвиток працівника передбачає безперервний процес навчання та вдосконалення професійної кваліфікації фахівця впродовж періоду здійснення ним дій, пов’язаних з безпосереднім провадженням професійної діяльності на фондовому ринку.</w:t>
      </w:r>
    </w:p>
    <w:p w14:paraId="66A55F9F" w14:textId="77777777" w:rsidR="00347F8F" w:rsidRPr="00347F8F" w:rsidRDefault="00347F8F" w:rsidP="0060439D">
      <w:pPr>
        <w:numPr>
          <w:ilvl w:val="0"/>
          <w:numId w:val="29"/>
        </w:numPr>
        <w:tabs>
          <w:tab w:val="clear" w:pos="720"/>
          <w:tab w:val="num" w:pos="0"/>
        </w:tabs>
        <w:spacing w:line="240" w:lineRule="auto"/>
        <w:ind w:left="0" w:firstLine="0"/>
        <w:rPr>
          <w:rFonts w:ascii="Times New Roman" w:hAnsi="Times New Roman" w:cs="Times New Roman"/>
          <w:lang w:val="ru-RU"/>
        </w:rPr>
      </w:pPr>
      <w:r w:rsidRPr="00347F8F">
        <w:rPr>
          <w:rFonts w:ascii="Times New Roman" w:hAnsi="Times New Roman" w:cs="Times New Roman"/>
          <w:lang w:val="ru-RU"/>
        </w:rPr>
        <w:t>До форм безперервного розвитку відносяться:</w:t>
      </w:r>
    </w:p>
    <w:p w14:paraId="71524B6C" w14:textId="77777777" w:rsidR="00347F8F" w:rsidRPr="00347F8F" w:rsidRDefault="00347F8F" w:rsidP="00347F8F">
      <w:pPr>
        <w:spacing w:line="240" w:lineRule="auto"/>
        <w:rPr>
          <w:rFonts w:ascii="Times New Roman" w:hAnsi="Times New Roman" w:cs="Times New Roman"/>
          <w:lang w:val="ru-RU"/>
        </w:rPr>
      </w:pPr>
      <w:r w:rsidRPr="00347F8F">
        <w:rPr>
          <w:rFonts w:ascii="Times New Roman" w:hAnsi="Times New Roman" w:cs="Times New Roman"/>
          <w:lang w:val="ru-RU"/>
        </w:rPr>
        <w:t>1) навчання на курсах, відкритих лекціях, тренінгових програмах, програмах розвитку тощо;</w:t>
      </w:r>
    </w:p>
    <w:p w14:paraId="7D246751" w14:textId="77777777" w:rsidR="00347F8F" w:rsidRPr="00347F8F" w:rsidRDefault="00347F8F" w:rsidP="00347F8F">
      <w:pPr>
        <w:spacing w:line="240" w:lineRule="auto"/>
        <w:rPr>
          <w:rFonts w:ascii="Times New Roman" w:hAnsi="Times New Roman" w:cs="Times New Roman"/>
          <w:lang w:val="ru-RU"/>
        </w:rPr>
      </w:pPr>
      <w:r w:rsidRPr="00347F8F">
        <w:rPr>
          <w:rFonts w:ascii="Times New Roman" w:hAnsi="Times New Roman" w:cs="Times New Roman"/>
          <w:lang w:val="ru-RU"/>
        </w:rPr>
        <w:t>2) успішне складення іспитів або інших випробувань;</w:t>
      </w:r>
    </w:p>
    <w:p w14:paraId="789C7CA4" w14:textId="77777777" w:rsidR="00347F8F" w:rsidRPr="00347F8F" w:rsidRDefault="00347F8F" w:rsidP="00347F8F">
      <w:pPr>
        <w:spacing w:line="240" w:lineRule="auto"/>
        <w:rPr>
          <w:rFonts w:ascii="Times New Roman" w:hAnsi="Times New Roman" w:cs="Times New Roman"/>
          <w:lang w:val="ru-RU"/>
        </w:rPr>
      </w:pPr>
      <w:r w:rsidRPr="00347F8F">
        <w:rPr>
          <w:rFonts w:ascii="Times New Roman" w:hAnsi="Times New Roman" w:cs="Times New Roman"/>
          <w:lang w:val="ru-RU"/>
        </w:rPr>
        <w:t>3) викладання курсу лекцій, семінарів, програм навчання тощо;</w:t>
      </w:r>
    </w:p>
    <w:p w14:paraId="2666A746" w14:textId="77777777" w:rsidR="00347F8F" w:rsidRPr="00347F8F" w:rsidRDefault="00347F8F" w:rsidP="00347F8F">
      <w:pPr>
        <w:spacing w:line="240" w:lineRule="auto"/>
        <w:rPr>
          <w:rFonts w:ascii="Times New Roman" w:hAnsi="Times New Roman" w:cs="Times New Roman"/>
          <w:lang w:val="ru-RU"/>
        </w:rPr>
      </w:pPr>
      <w:r w:rsidRPr="00347F8F">
        <w:rPr>
          <w:rFonts w:ascii="Times New Roman" w:hAnsi="Times New Roman" w:cs="Times New Roman"/>
          <w:lang w:val="ru-RU"/>
        </w:rPr>
        <w:t>4) виступи на міжнародних, загальнодержавних та регіональних наукових, науково-практичних, науково-методологічних конференціях, форумах, семінарах, круглих столах, тренінгах, програмах тощо;</w:t>
      </w:r>
    </w:p>
    <w:p w14:paraId="4B2C0078" w14:textId="77777777" w:rsidR="00347F8F" w:rsidRPr="00347F8F" w:rsidRDefault="00347F8F" w:rsidP="00347F8F">
      <w:pPr>
        <w:spacing w:line="240" w:lineRule="auto"/>
        <w:rPr>
          <w:rFonts w:ascii="Times New Roman" w:hAnsi="Times New Roman" w:cs="Times New Roman"/>
          <w:lang w:val="ru-RU"/>
        </w:rPr>
      </w:pPr>
      <w:r w:rsidRPr="00347F8F">
        <w:rPr>
          <w:rFonts w:ascii="Times New Roman" w:hAnsi="Times New Roman" w:cs="Times New Roman"/>
          <w:lang w:val="ru-RU"/>
        </w:rPr>
        <w:t>5) участь у семінарах, конференцій, робочих групах, засіданнях профільних комітетів щодо вдосконалення законодавства;</w:t>
      </w:r>
    </w:p>
    <w:p w14:paraId="721AE5D7" w14:textId="77777777" w:rsidR="00347F8F" w:rsidRPr="00347F8F" w:rsidRDefault="00347F8F" w:rsidP="00347F8F">
      <w:pPr>
        <w:spacing w:line="240" w:lineRule="auto"/>
        <w:rPr>
          <w:rFonts w:ascii="Times New Roman" w:hAnsi="Times New Roman" w:cs="Times New Roman"/>
          <w:lang w:val="ru-RU"/>
        </w:rPr>
      </w:pPr>
      <w:r w:rsidRPr="00347F8F">
        <w:rPr>
          <w:rFonts w:ascii="Times New Roman" w:hAnsi="Times New Roman" w:cs="Times New Roman"/>
          <w:lang w:val="ru-RU"/>
        </w:rPr>
        <w:t>6) публікації наукових, науково-практичних статей у друкованих, або електронних фахових, або інших професійних виданнях в Україні та закордоном;</w:t>
      </w:r>
    </w:p>
    <w:p w14:paraId="0CF058AD" w14:textId="77777777" w:rsidR="00347F8F" w:rsidRPr="00347F8F" w:rsidRDefault="00347F8F" w:rsidP="00347F8F">
      <w:pPr>
        <w:spacing w:line="240" w:lineRule="auto"/>
        <w:rPr>
          <w:rFonts w:ascii="Times New Roman" w:hAnsi="Times New Roman" w:cs="Times New Roman"/>
          <w:lang w:val="ru-RU"/>
        </w:rPr>
      </w:pPr>
      <w:r w:rsidRPr="00347F8F">
        <w:rPr>
          <w:rFonts w:ascii="Times New Roman" w:hAnsi="Times New Roman" w:cs="Times New Roman"/>
          <w:lang w:val="ru-RU"/>
        </w:rPr>
        <w:t>7) видання книг, монографій, підручників, посібників;</w:t>
      </w:r>
    </w:p>
    <w:p w14:paraId="7B86AA27" w14:textId="77777777" w:rsidR="00347F8F" w:rsidRPr="00347F8F" w:rsidRDefault="00347F8F" w:rsidP="00347F8F">
      <w:pPr>
        <w:spacing w:line="240" w:lineRule="auto"/>
        <w:rPr>
          <w:rFonts w:ascii="Times New Roman" w:hAnsi="Times New Roman" w:cs="Times New Roman"/>
          <w:lang w:val="ru-RU"/>
        </w:rPr>
      </w:pPr>
      <w:r w:rsidRPr="00347F8F">
        <w:rPr>
          <w:rFonts w:ascii="Times New Roman" w:hAnsi="Times New Roman" w:cs="Times New Roman"/>
          <w:lang w:val="ru-RU"/>
        </w:rPr>
        <w:t>8) інша діяльність, в тому числі визначена внутрішніми документами саморегулівних організацій.</w:t>
      </w:r>
    </w:p>
    <w:p w14:paraId="783A9B0B" w14:textId="77777777" w:rsidR="00347F8F" w:rsidRPr="00347F8F" w:rsidRDefault="00347F8F" w:rsidP="00347F8F">
      <w:pPr>
        <w:numPr>
          <w:ilvl w:val="0"/>
          <w:numId w:val="30"/>
        </w:numPr>
        <w:spacing w:line="240" w:lineRule="auto"/>
        <w:rPr>
          <w:rFonts w:ascii="Times New Roman" w:hAnsi="Times New Roman" w:cs="Times New Roman"/>
          <w:lang w:val="ru-RU"/>
        </w:rPr>
      </w:pPr>
      <w:r w:rsidRPr="00347F8F">
        <w:rPr>
          <w:rFonts w:ascii="Times New Roman" w:hAnsi="Times New Roman" w:cs="Times New Roman"/>
          <w:lang w:val="ru-RU"/>
        </w:rPr>
        <w:t>Вимоги щодо підвищення кваліфікації працівників</w:t>
      </w:r>
    </w:p>
    <w:p w14:paraId="7B5ADF04" w14:textId="77777777" w:rsidR="00347F8F" w:rsidRPr="00347F8F" w:rsidRDefault="00347F8F" w:rsidP="0060439D">
      <w:pPr>
        <w:numPr>
          <w:ilvl w:val="0"/>
          <w:numId w:val="31"/>
        </w:numPr>
        <w:spacing w:line="240" w:lineRule="auto"/>
        <w:rPr>
          <w:rFonts w:ascii="Times New Roman" w:hAnsi="Times New Roman" w:cs="Times New Roman"/>
          <w:lang w:val="ru-RU"/>
        </w:rPr>
      </w:pPr>
      <w:r w:rsidRPr="00347F8F">
        <w:rPr>
          <w:rFonts w:ascii="Times New Roman" w:hAnsi="Times New Roman" w:cs="Times New Roman"/>
          <w:lang w:val="ru-RU"/>
        </w:rPr>
        <w:t>Працівники мають постійно підвищувати рівень кваліфікації.</w:t>
      </w:r>
    </w:p>
    <w:p w14:paraId="682A9D8D" w14:textId="77777777" w:rsidR="00347F8F" w:rsidRPr="00347F8F" w:rsidRDefault="00347F8F" w:rsidP="0060439D">
      <w:pPr>
        <w:numPr>
          <w:ilvl w:val="0"/>
          <w:numId w:val="31"/>
        </w:numPr>
        <w:spacing w:line="240" w:lineRule="auto"/>
        <w:rPr>
          <w:rFonts w:ascii="Times New Roman" w:hAnsi="Times New Roman" w:cs="Times New Roman"/>
          <w:lang w:val="ru-RU"/>
        </w:rPr>
      </w:pPr>
      <w:r w:rsidRPr="00347F8F">
        <w:rPr>
          <w:rFonts w:ascii="Times New Roman" w:hAnsi="Times New Roman" w:cs="Times New Roman"/>
          <w:lang w:val="ru-RU"/>
        </w:rPr>
        <w:t>Працівники мають право вільно обирати види підвищення кваліфікації. </w:t>
      </w:r>
    </w:p>
    <w:p w14:paraId="45EB293A" w14:textId="77777777" w:rsidR="00347F8F" w:rsidRPr="00347F8F" w:rsidRDefault="00347F8F" w:rsidP="0060439D">
      <w:pPr>
        <w:numPr>
          <w:ilvl w:val="0"/>
          <w:numId w:val="31"/>
        </w:numPr>
        <w:spacing w:line="240" w:lineRule="auto"/>
        <w:rPr>
          <w:rFonts w:ascii="Times New Roman" w:hAnsi="Times New Roman" w:cs="Times New Roman"/>
          <w:lang w:val="ru-RU"/>
        </w:rPr>
      </w:pPr>
      <w:r w:rsidRPr="00347F8F">
        <w:rPr>
          <w:rFonts w:ascii="Times New Roman" w:hAnsi="Times New Roman" w:cs="Times New Roman"/>
          <w:lang w:val="ru-RU"/>
        </w:rPr>
        <w:t>Працівники мають право брати участь у будь-яких заходах з підвищення кваліфікації фахівців фондового ринку.</w:t>
      </w:r>
    </w:p>
    <w:p w14:paraId="69996B56" w14:textId="77777777" w:rsidR="00347F8F" w:rsidRPr="00347F8F" w:rsidRDefault="00347F8F" w:rsidP="00347F8F">
      <w:pPr>
        <w:numPr>
          <w:ilvl w:val="0"/>
          <w:numId w:val="32"/>
        </w:numPr>
        <w:spacing w:line="240" w:lineRule="auto"/>
        <w:rPr>
          <w:rFonts w:ascii="Times New Roman" w:hAnsi="Times New Roman" w:cs="Times New Roman"/>
          <w:lang w:val="ru-RU"/>
        </w:rPr>
      </w:pPr>
      <w:r w:rsidRPr="00347F8F">
        <w:rPr>
          <w:rFonts w:ascii="Times New Roman" w:hAnsi="Times New Roman" w:cs="Times New Roman"/>
          <w:lang w:val="ru-RU"/>
        </w:rPr>
        <w:t>Інвестиційна фірма забезпечує своїм працівникам для їх розвитку та покращення професійних навичок  на постійній основі:</w:t>
      </w:r>
    </w:p>
    <w:p w14:paraId="3DB7B735" w14:textId="77777777" w:rsidR="00347F8F" w:rsidRPr="0060439D" w:rsidRDefault="00347F8F" w:rsidP="0060439D">
      <w:pPr>
        <w:pStyle w:val="ac"/>
        <w:numPr>
          <w:ilvl w:val="0"/>
          <w:numId w:val="37"/>
        </w:numPr>
        <w:rPr>
          <w:rFonts w:ascii="Times New Roman" w:hAnsi="Times New Roman" w:cs="Times New Roman"/>
          <w:lang w:val="ru-RU"/>
        </w:rPr>
      </w:pPr>
      <w:r w:rsidRPr="0060439D">
        <w:rPr>
          <w:rFonts w:ascii="Times New Roman" w:hAnsi="Times New Roman" w:cs="Times New Roman"/>
          <w:lang w:val="ru-RU"/>
        </w:rPr>
        <w:t>навчання на курсах, відкритих лекціях, тренінгових програмах, програмах розвитку тощо;</w:t>
      </w:r>
    </w:p>
    <w:p w14:paraId="4BFC347C" w14:textId="77777777" w:rsidR="00347F8F" w:rsidRPr="0060439D" w:rsidRDefault="00347F8F" w:rsidP="0060439D">
      <w:pPr>
        <w:pStyle w:val="ac"/>
        <w:numPr>
          <w:ilvl w:val="0"/>
          <w:numId w:val="37"/>
        </w:numPr>
        <w:rPr>
          <w:rFonts w:ascii="Times New Roman" w:hAnsi="Times New Roman" w:cs="Times New Roman"/>
          <w:lang w:val="ru-RU"/>
        </w:rPr>
      </w:pPr>
      <w:r w:rsidRPr="0060439D">
        <w:rPr>
          <w:rFonts w:ascii="Times New Roman" w:hAnsi="Times New Roman" w:cs="Times New Roman"/>
          <w:lang w:val="ru-RU"/>
        </w:rPr>
        <w:t>участь у семінарах, конференціях та інших заходах.</w:t>
      </w:r>
    </w:p>
    <w:p w14:paraId="3162BCBB" w14:textId="77777777" w:rsidR="000C07A8" w:rsidRPr="00347F8F" w:rsidRDefault="000C07A8" w:rsidP="00347F8F">
      <w:pPr>
        <w:spacing w:line="240" w:lineRule="auto"/>
        <w:rPr>
          <w:rFonts w:ascii="Times New Roman" w:hAnsi="Times New Roman" w:cs="Times New Roman"/>
          <w:lang w:val="ru-RU"/>
        </w:rPr>
      </w:pPr>
    </w:p>
    <w:sectPr w:rsidR="000C07A8" w:rsidRPr="00347F8F" w:rsidSect="00061AD2">
      <w:footerReference w:type="default" r:id="rId7"/>
      <w:pgSz w:w="12240" w:h="15840"/>
      <w:pgMar w:top="709" w:right="616" w:bottom="567"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C9385" w14:textId="77777777" w:rsidR="003C6576" w:rsidRDefault="003C6576" w:rsidP="00061AD2">
      <w:pPr>
        <w:spacing w:after="0" w:line="240" w:lineRule="auto"/>
      </w:pPr>
      <w:r>
        <w:separator/>
      </w:r>
    </w:p>
  </w:endnote>
  <w:endnote w:type="continuationSeparator" w:id="0">
    <w:p w14:paraId="605482C2" w14:textId="77777777" w:rsidR="003C6576" w:rsidRDefault="003C6576" w:rsidP="00061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723198"/>
      <w:docPartObj>
        <w:docPartGallery w:val="Page Numbers (Bottom of Page)"/>
        <w:docPartUnique/>
      </w:docPartObj>
    </w:sdtPr>
    <w:sdtContent>
      <w:p w14:paraId="3D51D0FF" w14:textId="4EF4A1AE" w:rsidR="00061AD2" w:rsidRDefault="00061AD2">
        <w:pPr>
          <w:pStyle w:val="af"/>
          <w:jc w:val="right"/>
        </w:pPr>
        <w:r>
          <w:fldChar w:fldCharType="begin"/>
        </w:r>
        <w:r>
          <w:instrText>PAGE   \* MERGEFORMAT</w:instrText>
        </w:r>
        <w:r>
          <w:fldChar w:fldCharType="separate"/>
        </w:r>
        <w:r>
          <w:rPr>
            <w:lang w:val="ru-RU"/>
          </w:rPr>
          <w:t>2</w:t>
        </w:r>
        <w:r>
          <w:fldChar w:fldCharType="end"/>
        </w:r>
      </w:p>
    </w:sdtContent>
  </w:sdt>
  <w:p w14:paraId="3E6BA623" w14:textId="77777777" w:rsidR="00061AD2" w:rsidRDefault="00061AD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02EE1" w14:textId="77777777" w:rsidR="003C6576" w:rsidRDefault="003C6576" w:rsidP="00061AD2">
      <w:pPr>
        <w:spacing w:after="0" w:line="240" w:lineRule="auto"/>
      </w:pPr>
      <w:r>
        <w:separator/>
      </w:r>
    </w:p>
  </w:footnote>
  <w:footnote w:type="continuationSeparator" w:id="0">
    <w:p w14:paraId="1FC111E2" w14:textId="77777777" w:rsidR="003C6576" w:rsidRDefault="003C6576" w:rsidP="00061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1E8F"/>
    <w:multiLevelType w:val="multilevel"/>
    <w:tmpl w:val="543021D0"/>
    <w:lvl w:ilvl="0">
      <w:start w:val="1"/>
      <w:numFmt w:val="decimal"/>
      <w:lvlText w:val="2.%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AB44A13"/>
    <w:multiLevelType w:val="multilevel"/>
    <w:tmpl w:val="080279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7B0E26"/>
    <w:multiLevelType w:val="multilevel"/>
    <w:tmpl w:val="172656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787478"/>
    <w:multiLevelType w:val="multilevel"/>
    <w:tmpl w:val="EACA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B3A01"/>
    <w:multiLevelType w:val="multilevel"/>
    <w:tmpl w:val="00BA37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B26D9E"/>
    <w:multiLevelType w:val="multilevel"/>
    <w:tmpl w:val="4FF01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FB426D"/>
    <w:multiLevelType w:val="multilevel"/>
    <w:tmpl w:val="11E0FCB8"/>
    <w:lvl w:ilvl="0">
      <w:start w:val="4"/>
      <w:numFmt w:val="decimal"/>
      <w:lvlText w:val="2.%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4AA4F45"/>
    <w:multiLevelType w:val="multilevel"/>
    <w:tmpl w:val="4664D9C8"/>
    <w:lvl w:ilvl="0">
      <w:start w:val="1"/>
      <w:numFmt w:val="decimal"/>
      <w:lvlText w:val="3.%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6FD7769"/>
    <w:multiLevelType w:val="multilevel"/>
    <w:tmpl w:val="A18287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E8540C"/>
    <w:multiLevelType w:val="multilevel"/>
    <w:tmpl w:val="2A36A7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F77DFC"/>
    <w:multiLevelType w:val="hybridMultilevel"/>
    <w:tmpl w:val="06986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BC7ABA"/>
    <w:multiLevelType w:val="multilevel"/>
    <w:tmpl w:val="F4FE6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AE2F9C"/>
    <w:multiLevelType w:val="multilevel"/>
    <w:tmpl w:val="5686AB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E96B9A"/>
    <w:multiLevelType w:val="multilevel"/>
    <w:tmpl w:val="2D103BF4"/>
    <w:lvl w:ilvl="0">
      <w:start w:val="1"/>
      <w:numFmt w:val="decimal"/>
      <w:lvlText w:val="5.%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463A6BE3"/>
    <w:multiLevelType w:val="multilevel"/>
    <w:tmpl w:val="733E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873590"/>
    <w:multiLevelType w:val="multilevel"/>
    <w:tmpl w:val="0E0C4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8F438F"/>
    <w:multiLevelType w:val="multilevel"/>
    <w:tmpl w:val="EC5AFF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D8016D"/>
    <w:multiLevelType w:val="hybridMultilevel"/>
    <w:tmpl w:val="A5183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1235C9"/>
    <w:multiLevelType w:val="multilevel"/>
    <w:tmpl w:val="5242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3808D8"/>
    <w:multiLevelType w:val="multilevel"/>
    <w:tmpl w:val="1188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F81514"/>
    <w:multiLevelType w:val="hybridMultilevel"/>
    <w:tmpl w:val="9FDE7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B64B4A"/>
    <w:multiLevelType w:val="multilevel"/>
    <w:tmpl w:val="2D6E3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6C4D19"/>
    <w:multiLevelType w:val="multilevel"/>
    <w:tmpl w:val="064E34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3E179A"/>
    <w:multiLevelType w:val="multilevel"/>
    <w:tmpl w:val="5A32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692D75"/>
    <w:multiLevelType w:val="multilevel"/>
    <w:tmpl w:val="54049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1873986">
    <w:abstractNumId w:val="15"/>
  </w:num>
  <w:num w:numId="2" w16cid:durableId="434251212">
    <w:abstractNumId w:val="21"/>
  </w:num>
  <w:num w:numId="3" w16cid:durableId="1921982089">
    <w:abstractNumId w:val="8"/>
    <w:lvlOverride w:ilvl="0">
      <w:lvl w:ilvl="0">
        <w:numFmt w:val="decimal"/>
        <w:lvlText w:val="%1."/>
        <w:lvlJc w:val="left"/>
      </w:lvl>
    </w:lvlOverride>
  </w:num>
  <w:num w:numId="4" w16cid:durableId="666598382">
    <w:abstractNumId w:val="19"/>
  </w:num>
  <w:num w:numId="5" w16cid:durableId="204145810">
    <w:abstractNumId w:val="16"/>
    <w:lvlOverride w:ilvl="0">
      <w:lvl w:ilvl="0">
        <w:numFmt w:val="decimal"/>
        <w:lvlText w:val="%1."/>
        <w:lvlJc w:val="left"/>
      </w:lvl>
    </w:lvlOverride>
  </w:num>
  <w:num w:numId="6" w16cid:durableId="2053193695">
    <w:abstractNumId w:val="16"/>
    <w:lvlOverride w:ilvl="0">
      <w:lvl w:ilvl="0">
        <w:numFmt w:val="decimal"/>
        <w:lvlText w:val="%1."/>
        <w:lvlJc w:val="left"/>
      </w:lvl>
    </w:lvlOverride>
  </w:num>
  <w:num w:numId="7" w16cid:durableId="1616791393">
    <w:abstractNumId w:val="16"/>
    <w:lvlOverride w:ilvl="0">
      <w:lvl w:ilvl="0">
        <w:numFmt w:val="decimal"/>
        <w:lvlText w:val="%1."/>
        <w:lvlJc w:val="left"/>
      </w:lvl>
    </w:lvlOverride>
  </w:num>
  <w:num w:numId="8" w16cid:durableId="1971738159">
    <w:abstractNumId w:val="23"/>
  </w:num>
  <w:num w:numId="9" w16cid:durableId="1902668032">
    <w:abstractNumId w:val="11"/>
  </w:num>
  <w:num w:numId="10" w16cid:durableId="1954483163">
    <w:abstractNumId w:val="14"/>
  </w:num>
  <w:num w:numId="11" w16cid:durableId="308940916">
    <w:abstractNumId w:val="1"/>
    <w:lvlOverride w:ilvl="0">
      <w:lvl w:ilvl="0">
        <w:numFmt w:val="decimal"/>
        <w:lvlText w:val="%1."/>
        <w:lvlJc w:val="left"/>
      </w:lvl>
    </w:lvlOverride>
  </w:num>
  <w:num w:numId="12" w16cid:durableId="646398143">
    <w:abstractNumId w:val="1"/>
    <w:lvlOverride w:ilvl="0">
      <w:lvl w:ilvl="0">
        <w:numFmt w:val="decimal"/>
        <w:lvlText w:val="%1."/>
        <w:lvlJc w:val="left"/>
      </w:lvl>
    </w:lvlOverride>
  </w:num>
  <w:num w:numId="13" w16cid:durableId="721053628">
    <w:abstractNumId w:val="1"/>
    <w:lvlOverride w:ilvl="0">
      <w:lvl w:ilvl="0">
        <w:numFmt w:val="decimal"/>
        <w:lvlText w:val="%1."/>
        <w:lvlJc w:val="left"/>
      </w:lvl>
    </w:lvlOverride>
  </w:num>
  <w:num w:numId="14" w16cid:durableId="993677439">
    <w:abstractNumId w:val="1"/>
    <w:lvlOverride w:ilvl="0">
      <w:lvl w:ilvl="0">
        <w:numFmt w:val="decimal"/>
        <w:lvlText w:val="%1."/>
        <w:lvlJc w:val="left"/>
      </w:lvl>
    </w:lvlOverride>
  </w:num>
  <w:num w:numId="15" w16cid:durableId="1874418829">
    <w:abstractNumId w:val="1"/>
    <w:lvlOverride w:ilvl="0">
      <w:lvl w:ilvl="0">
        <w:numFmt w:val="decimal"/>
        <w:lvlText w:val="%1."/>
        <w:lvlJc w:val="left"/>
      </w:lvl>
    </w:lvlOverride>
  </w:num>
  <w:num w:numId="16" w16cid:durableId="1333605315">
    <w:abstractNumId w:val="1"/>
    <w:lvlOverride w:ilvl="0">
      <w:lvl w:ilvl="0">
        <w:numFmt w:val="decimal"/>
        <w:lvlText w:val="%1."/>
        <w:lvlJc w:val="left"/>
      </w:lvl>
    </w:lvlOverride>
  </w:num>
  <w:num w:numId="17" w16cid:durableId="1097405071">
    <w:abstractNumId w:val="5"/>
  </w:num>
  <w:num w:numId="18" w16cid:durableId="1872957185">
    <w:abstractNumId w:val="0"/>
  </w:num>
  <w:num w:numId="19" w16cid:durableId="1119452044">
    <w:abstractNumId w:val="4"/>
    <w:lvlOverride w:ilvl="0">
      <w:lvl w:ilvl="0">
        <w:numFmt w:val="decimal"/>
        <w:lvlText w:val="%1."/>
        <w:lvlJc w:val="left"/>
      </w:lvl>
    </w:lvlOverride>
  </w:num>
  <w:num w:numId="20" w16cid:durableId="75320815">
    <w:abstractNumId w:val="4"/>
    <w:lvlOverride w:ilvl="0">
      <w:lvl w:ilvl="0">
        <w:numFmt w:val="decimal"/>
        <w:lvlText w:val="%1."/>
        <w:lvlJc w:val="left"/>
      </w:lvl>
    </w:lvlOverride>
  </w:num>
  <w:num w:numId="21" w16cid:durableId="1688016958">
    <w:abstractNumId w:val="4"/>
    <w:lvlOverride w:ilvl="0">
      <w:lvl w:ilvl="0">
        <w:numFmt w:val="decimal"/>
        <w:lvlText w:val="%1."/>
        <w:lvlJc w:val="left"/>
      </w:lvl>
    </w:lvlOverride>
  </w:num>
  <w:num w:numId="22" w16cid:durableId="498809178">
    <w:abstractNumId w:val="4"/>
    <w:lvlOverride w:ilvl="0">
      <w:lvl w:ilvl="0">
        <w:numFmt w:val="decimal"/>
        <w:lvlText w:val="%1."/>
        <w:lvlJc w:val="left"/>
      </w:lvl>
    </w:lvlOverride>
  </w:num>
  <w:num w:numId="23" w16cid:durableId="240868090">
    <w:abstractNumId w:val="4"/>
    <w:lvlOverride w:ilvl="0">
      <w:lvl w:ilvl="0">
        <w:numFmt w:val="decimal"/>
        <w:lvlText w:val="%1."/>
        <w:lvlJc w:val="left"/>
      </w:lvl>
    </w:lvlOverride>
  </w:num>
  <w:num w:numId="24" w16cid:durableId="64031470">
    <w:abstractNumId w:val="2"/>
    <w:lvlOverride w:ilvl="0">
      <w:lvl w:ilvl="0">
        <w:numFmt w:val="decimal"/>
        <w:lvlText w:val="%1."/>
        <w:lvlJc w:val="left"/>
      </w:lvl>
    </w:lvlOverride>
  </w:num>
  <w:num w:numId="25" w16cid:durableId="1545560502">
    <w:abstractNumId w:val="7"/>
  </w:num>
  <w:num w:numId="26" w16cid:durableId="1107116845">
    <w:abstractNumId w:val="9"/>
    <w:lvlOverride w:ilvl="0">
      <w:lvl w:ilvl="0">
        <w:numFmt w:val="decimal"/>
        <w:lvlText w:val="%1."/>
        <w:lvlJc w:val="left"/>
      </w:lvl>
    </w:lvlOverride>
  </w:num>
  <w:num w:numId="27" w16cid:durableId="952906370">
    <w:abstractNumId w:val="9"/>
    <w:lvlOverride w:ilvl="0">
      <w:lvl w:ilvl="0">
        <w:numFmt w:val="decimal"/>
        <w:lvlText w:val="%1."/>
        <w:lvlJc w:val="left"/>
      </w:lvl>
    </w:lvlOverride>
  </w:num>
  <w:num w:numId="28" w16cid:durableId="923799224">
    <w:abstractNumId w:val="3"/>
  </w:num>
  <w:num w:numId="29" w16cid:durableId="678048929">
    <w:abstractNumId w:val="24"/>
  </w:num>
  <w:num w:numId="30" w16cid:durableId="1427072962">
    <w:abstractNumId w:val="12"/>
    <w:lvlOverride w:ilvl="0">
      <w:lvl w:ilvl="0">
        <w:numFmt w:val="decimal"/>
        <w:lvlText w:val="%1."/>
        <w:lvlJc w:val="left"/>
      </w:lvl>
    </w:lvlOverride>
  </w:num>
  <w:num w:numId="31" w16cid:durableId="779760036">
    <w:abstractNumId w:val="13"/>
  </w:num>
  <w:num w:numId="32" w16cid:durableId="1943142619">
    <w:abstractNumId w:val="22"/>
    <w:lvlOverride w:ilvl="0">
      <w:lvl w:ilvl="0">
        <w:numFmt w:val="decimal"/>
        <w:lvlText w:val="%1."/>
        <w:lvlJc w:val="left"/>
      </w:lvl>
    </w:lvlOverride>
  </w:num>
  <w:num w:numId="33" w16cid:durableId="2039886578">
    <w:abstractNumId w:val="18"/>
  </w:num>
  <w:num w:numId="34" w16cid:durableId="1437795979">
    <w:abstractNumId w:val="20"/>
  </w:num>
  <w:num w:numId="35" w16cid:durableId="1858039340">
    <w:abstractNumId w:val="6"/>
  </w:num>
  <w:num w:numId="36" w16cid:durableId="1870560776">
    <w:abstractNumId w:val="10"/>
  </w:num>
  <w:num w:numId="37" w16cid:durableId="20628280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71"/>
    <w:rsid w:val="00061AD2"/>
    <w:rsid w:val="0008204B"/>
    <w:rsid w:val="000C07A8"/>
    <w:rsid w:val="0018545B"/>
    <w:rsid w:val="00344587"/>
    <w:rsid w:val="00347F8F"/>
    <w:rsid w:val="003C6576"/>
    <w:rsid w:val="005B6EA4"/>
    <w:rsid w:val="005D41C8"/>
    <w:rsid w:val="0060439D"/>
    <w:rsid w:val="007A5C7C"/>
    <w:rsid w:val="00817AFC"/>
    <w:rsid w:val="00843C91"/>
    <w:rsid w:val="0098676F"/>
    <w:rsid w:val="009A1F97"/>
    <w:rsid w:val="00B83742"/>
    <w:rsid w:val="00CD29E3"/>
    <w:rsid w:val="00D765FF"/>
    <w:rsid w:val="00EC3668"/>
    <w:rsid w:val="00EE7771"/>
    <w:rsid w:val="00F716DC"/>
    <w:rsid w:val="00F84879"/>
    <w:rsid w:val="00F93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233C8"/>
  <w15:chartTrackingRefBased/>
  <w15:docId w15:val="{5EA2124A-786B-4625-B9F8-91F4E6AC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E77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E77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E777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E777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E777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E777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E777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E777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E777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77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E777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E777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E777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E777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E777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E7771"/>
    <w:rPr>
      <w:rFonts w:eastAsiaTheme="majorEastAsia" w:cstheme="majorBidi"/>
      <w:color w:val="595959" w:themeColor="text1" w:themeTint="A6"/>
    </w:rPr>
  </w:style>
  <w:style w:type="character" w:customStyle="1" w:styleId="80">
    <w:name w:val="Заголовок 8 Знак"/>
    <w:basedOn w:val="a0"/>
    <w:link w:val="8"/>
    <w:uiPriority w:val="9"/>
    <w:semiHidden/>
    <w:rsid w:val="00EE777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E7771"/>
    <w:rPr>
      <w:rFonts w:eastAsiaTheme="majorEastAsia" w:cstheme="majorBidi"/>
      <w:color w:val="272727" w:themeColor="text1" w:themeTint="D8"/>
    </w:rPr>
  </w:style>
  <w:style w:type="paragraph" w:styleId="a3">
    <w:name w:val="Title"/>
    <w:basedOn w:val="a"/>
    <w:next w:val="a"/>
    <w:link w:val="a4"/>
    <w:uiPriority w:val="10"/>
    <w:qFormat/>
    <w:rsid w:val="00EE77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E7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77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E777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E7771"/>
    <w:pPr>
      <w:spacing w:before="160"/>
      <w:jc w:val="center"/>
    </w:pPr>
    <w:rPr>
      <w:i/>
      <w:iCs/>
      <w:color w:val="404040" w:themeColor="text1" w:themeTint="BF"/>
    </w:rPr>
  </w:style>
  <w:style w:type="character" w:customStyle="1" w:styleId="22">
    <w:name w:val="Цитата 2 Знак"/>
    <w:basedOn w:val="a0"/>
    <w:link w:val="21"/>
    <w:uiPriority w:val="29"/>
    <w:rsid w:val="00EE7771"/>
    <w:rPr>
      <w:i/>
      <w:iCs/>
      <w:color w:val="404040" w:themeColor="text1" w:themeTint="BF"/>
    </w:rPr>
  </w:style>
  <w:style w:type="paragraph" w:styleId="a7">
    <w:name w:val="List Paragraph"/>
    <w:basedOn w:val="a"/>
    <w:uiPriority w:val="34"/>
    <w:qFormat/>
    <w:rsid w:val="00EE7771"/>
    <w:pPr>
      <w:ind w:left="720"/>
      <w:contextualSpacing/>
    </w:pPr>
  </w:style>
  <w:style w:type="character" w:styleId="a8">
    <w:name w:val="Intense Emphasis"/>
    <w:basedOn w:val="a0"/>
    <w:uiPriority w:val="21"/>
    <w:qFormat/>
    <w:rsid w:val="00EE7771"/>
    <w:rPr>
      <w:i/>
      <w:iCs/>
      <w:color w:val="2F5496" w:themeColor="accent1" w:themeShade="BF"/>
    </w:rPr>
  </w:style>
  <w:style w:type="paragraph" w:styleId="a9">
    <w:name w:val="Intense Quote"/>
    <w:basedOn w:val="a"/>
    <w:next w:val="a"/>
    <w:link w:val="aa"/>
    <w:uiPriority w:val="30"/>
    <w:qFormat/>
    <w:rsid w:val="00EE7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E7771"/>
    <w:rPr>
      <w:i/>
      <w:iCs/>
      <w:color w:val="2F5496" w:themeColor="accent1" w:themeShade="BF"/>
    </w:rPr>
  </w:style>
  <w:style w:type="character" w:styleId="ab">
    <w:name w:val="Intense Reference"/>
    <w:basedOn w:val="a0"/>
    <w:uiPriority w:val="32"/>
    <w:qFormat/>
    <w:rsid w:val="00EE7771"/>
    <w:rPr>
      <w:b/>
      <w:bCs/>
      <w:smallCaps/>
      <w:color w:val="2F5496" w:themeColor="accent1" w:themeShade="BF"/>
      <w:spacing w:val="5"/>
    </w:rPr>
  </w:style>
  <w:style w:type="paragraph" w:styleId="ac">
    <w:name w:val="No Spacing"/>
    <w:uiPriority w:val="1"/>
    <w:qFormat/>
    <w:rsid w:val="0060439D"/>
    <w:pPr>
      <w:spacing w:after="0" w:line="240" w:lineRule="auto"/>
    </w:pPr>
  </w:style>
  <w:style w:type="paragraph" w:styleId="ad">
    <w:name w:val="header"/>
    <w:basedOn w:val="a"/>
    <w:link w:val="ae"/>
    <w:uiPriority w:val="99"/>
    <w:unhideWhenUsed/>
    <w:rsid w:val="00061AD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61AD2"/>
  </w:style>
  <w:style w:type="paragraph" w:styleId="af">
    <w:name w:val="footer"/>
    <w:basedOn w:val="a"/>
    <w:link w:val="af0"/>
    <w:uiPriority w:val="99"/>
    <w:unhideWhenUsed/>
    <w:rsid w:val="00061AD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61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44124">
      <w:bodyDiv w:val="1"/>
      <w:marLeft w:val="0"/>
      <w:marRight w:val="0"/>
      <w:marTop w:val="0"/>
      <w:marBottom w:val="0"/>
      <w:divBdr>
        <w:top w:val="none" w:sz="0" w:space="0" w:color="auto"/>
        <w:left w:val="none" w:sz="0" w:space="0" w:color="auto"/>
        <w:bottom w:val="none" w:sz="0" w:space="0" w:color="auto"/>
        <w:right w:val="none" w:sz="0" w:space="0" w:color="auto"/>
      </w:divBdr>
    </w:div>
    <w:div w:id="1152254159">
      <w:bodyDiv w:val="1"/>
      <w:marLeft w:val="0"/>
      <w:marRight w:val="0"/>
      <w:marTop w:val="0"/>
      <w:marBottom w:val="0"/>
      <w:divBdr>
        <w:top w:val="none" w:sz="0" w:space="0" w:color="auto"/>
        <w:left w:val="none" w:sz="0" w:space="0" w:color="auto"/>
        <w:bottom w:val="none" w:sz="0" w:space="0" w:color="auto"/>
        <w:right w:val="none" w:sz="0" w:space="0" w:color="auto"/>
      </w:divBdr>
    </w:div>
    <w:div w:id="2017226076">
      <w:bodyDiv w:val="1"/>
      <w:marLeft w:val="0"/>
      <w:marRight w:val="0"/>
      <w:marTop w:val="0"/>
      <w:marBottom w:val="0"/>
      <w:divBdr>
        <w:top w:val="none" w:sz="0" w:space="0" w:color="auto"/>
        <w:left w:val="none" w:sz="0" w:space="0" w:color="auto"/>
        <w:bottom w:val="none" w:sz="0" w:space="0" w:color="auto"/>
        <w:right w:val="none" w:sz="0" w:space="0" w:color="auto"/>
      </w:divBdr>
    </w:div>
    <w:div w:id="201787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2074</Words>
  <Characters>11826</Characters>
  <Application>Microsoft Office Word</Application>
  <DocSecurity>0</DocSecurity>
  <Lines>98</Lines>
  <Paragraphs>27</Paragraphs>
  <ScaleCrop>false</ScaleCrop>
  <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2025-03-10T11:47:00Z</dcterms:created>
  <dcterms:modified xsi:type="dcterms:W3CDTF">2025-03-26T17:23:00Z</dcterms:modified>
</cp:coreProperties>
</file>